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C3" w:rsidRDefault="00697FC7">
      <w:pPr>
        <w:rPr>
          <w:rFonts w:ascii="华文行楷" w:eastAsia="华文行楷" w:hAnsi="华文行楷" w:cs="华文行楷"/>
          <w:snapToGrid w:val="0"/>
          <w:color w:val="FF0000"/>
          <w:spacing w:val="-142"/>
          <w:kern w:val="0"/>
          <w:sz w:val="144"/>
          <w:szCs w:val="144"/>
        </w:rPr>
      </w:pPr>
      <w:bookmarkStart w:id="0" w:name="_GoBack"/>
      <w:bookmarkEnd w:id="0"/>
      <w:r>
        <w:rPr>
          <w:rFonts w:ascii="华文行楷" w:eastAsia="华文行楷" w:hAnsi="华文行楷" w:cs="华文行楷" w:hint="eastAsia"/>
          <w:snapToGrid w:val="0"/>
          <w:color w:val="FF0000"/>
          <w:spacing w:val="-142"/>
          <w:kern w:val="0"/>
          <w:sz w:val="144"/>
          <w:szCs w:val="144"/>
        </w:rPr>
        <w:t>乡村风貌提升信息</w:t>
      </w:r>
    </w:p>
    <w:p w:rsidR="005A2AC3" w:rsidRDefault="005A2AC3"/>
    <w:p w:rsidR="005A2AC3" w:rsidRDefault="00697FC7">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2019</w:t>
      </w:r>
      <w:r>
        <w:rPr>
          <w:rFonts w:ascii="方正小标宋简体" w:eastAsia="方正小标宋简体" w:hAnsi="方正小标宋简体" w:cs="方正小标宋简体" w:hint="eastAsia"/>
          <w:sz w:val="32"/>
          <w:szCs w:val="32"/>
        </w:rPr>
        <w:t>年第</w:t>
      </w:r>
      <w:r>
        <w:rPr>
          <w:rFonts w:ascii="方正小标宋简体" w:eastAsia="方正小标宋简体" w:hAnsi="方正小标宋简体" w:cs="方正小标宋简体" w:hint="eastAsia"/>
          <w:sz w:val="32"/>
          <w:szCs w:val="32"/>
        </w:rPr>
        <w:t>2</w:t>
      </w:r>
      <w:r>
        <w:rPr>
          <w:rFonts w:ascii="方正小标宋简体" w:eastAsia="方正小标宋简体" w:hAnsi="方正小标宋简体" w:cs="方正小标宋简体" w:hint="eastAsia"/>
          <w:sz w:val="32"/>
          <w:szCs w:val="32"/>
        </w:rPr>
        <w:t>期</w:t>
      </w:r>
    </w:p>
    <w:tbl>
      <w:tblPr>
        <w:tblpPr w:leftFromText="180" w:rightFromText="180" w:vertAnchor="text" w:horzAnchor="page" w:tblpX="1585" w:tblpY="950"/>
        <w:tblOverlap w:val="never"/>
        <w:tblW w:w="9540"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Look w:val="04A0" w:firstRow="1" w:lastRow="0" w:firstColumn="1" w:lastColumn="0" w:noHBand="0" w:noVBand="1"/>
      </w:tblPr>
      <w:tblGrid>
        <w:gridCol w:w="9540"/>
      </w:tblGrid>
      <w:tr w:rsidR="005A2AC3">
        <w:trPr>
          <w:trHeight w:val="561"/>
        </w:trPr>
        <w:tc>
          <w:tcPr>
            <w:tcW w:w="9540" w:type="dxa"/>
            <w:tcBorders>
              <w:top w:val="nil"/>
              <w:left w:val="nil"/>
              <w:right w:val="nil"/>
            </w:tcBorders>
          </w:tcPr>
          <w:p w:rsidR="005A2AC3" w:rsidRDefault="00697FC7">
            <w:pPr>
              <w:pStyle w:val="NewNewNewNewNewNewNew"/>
              <w:rPr>
                <w:rFonts w:ascii="楷体" w:eastAsia="楷体" w:hAnsi="楷体" w:cs="华文中宋"/>
                <w:szCs w:val="21"/>
              </w:rPr>
            </w:pPr>
            <w:r>
              <w:rPr>
                <w:rFonts w:ascii="方正楷体_GBK" w:eastAsia="方正楷体_GBK" w:hAnsi="方正楷体_GBK" w:cs="方正楷体_GBK" w:hint="eastAsia"/>
                <w:sz w:val="32"/>
                <w:szCs w:val="32"/>
              </w:rPr>
              <w:t>贺州市住房和城乡建设局编印</w:t>
            </w:r>
            <w:r>
              <w:rPr>
                <w:rFonts w:ascii="方正楷体_GBK" w:eastAsia="方正楷体_GBK" w:hAnsi="方正楷体_GBK" w:cs="方正楷体_GBK" w:hint="eastAsia"/>
                <w:sz w:val="32"/>
                <w:szCs w:val="32"/>
              </w:rPr>
              <w:t xml:space="preserve">               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4</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12</w:t>
            </w:r>
            <w:r>
              <w:rPr>
                <w:rFonts w:ascii="方正楷体_GBK" w:eastAsia="方正楷体_GBK" w:hAnsi="方正楷体_GBK" w:cs="方正楷体_GBK" w:hint="eastAsia"/>
                <w:sz w:val="32"/>
                <w:szCs w:val="32"/>
              </w:rPr>
              <w:t>日</w:t>
            </w:r>
          </w:p>
        </w:tc>
      </w:tr>
    </w:tbl>
    <w:p w:rsidR="005A2AC3" w:rsidRDefault="005A2AC3">
      <w:pPr>
        <w:rPr>
          <w:sz w:val="32"/>
          <w:szCs w:val="32"/>
        </w:rPr>
      </w:pPr>
    </w:p>
    <w:p w:rsidR="005A2AC3" w:rsidRDefault="005A2AC3">
      <w:pPr>
        <w:rPr>
          <w:rFonts w:ascii="方正楷体_GBK" w:eastAsia="方正楷体_GBK" w:hAnsi="方正楷体_GBK" w:cs="方正楷体_GBK"/>
          <w:sz w:val="32"/>
          <w:szCs w:val="32"/>
        </w:rPr>
      </w:pPr>
    </w:p>
    <w:p w:rsidR="005A2AC3" w:rsidRDefault="00697FC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5A2AC3" w:rsidRDefault="005A2AC3">
      <w:pPr>
        <w:rPr>
          <w:rFonts w:ascii="方正楷体_GBK" w:eastAsia="方正楷体_GBK" w:hAnsi="方正楷体_GBK" w:cs="方正楷体_GBK"/>
          <w:sz w:val="32"/>
          <w:szCs w:val="32"/>
        </w:rPr>
      </w:pPr>
    </w:p>
    <w:p w:rsidR="005A2AC3" w:rsidRDefault="00697FC7">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【工作动态】</w:t>
      </w:r>
    </w:p>
    <w:p w:rsidR="005A2AC3" w:rsidRDefault="00697FC7">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★贺州市召开乡村振兴暨土地整理、乡村风貌改造提升工作会议</w:t>
      </w:r>
    </w:p>
    <w:p w:rsidR="005A2AC3" w:rsidRDefault="005A2AC3">
      <w:pPr>
        <w:rPr>
          <w:rFonts w:ascii="方正楷体_GBK" w:eastAsia="方正楷体_GBK" w:hAnsi="方正楷体_GBK" w:cs="方正楷体_GBK"/>
          <w:sz w:val="32"/>
          <w:szCs w:val="32"/>
        </w:rPr>
      </w:pPr>
    </w:p>
    <w:p w:rsidR="005A2AC3" w:rsidRDefault="00697FC7">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【经验交流】</w:t>
      </w:r>
    </w:p>
    <w:p w:rsidR="005A2AC3" w:rsidRDefault="00697FC7">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★马鞍寨：增减挂钩助力乡村风貌提升</w:t>
      </w:r>
    </w:p>
    <w:p w:rsidR="005A2AC3" w:rsidRDefault="005A2AC3">
      <w:pPr>
        <w:rPr>
          <w:rFonts w:ascii="方正楷体_GBK" w:eastAsia="方正楷体_GBK" w:hAnsi="方正楷体_GBK" w:cs="方正楷体_GBK"/>
          <w:sz w:val="36"/>
          <w:szCs w:val="36"/>
        </w:rPr>
      </w:pPr>
    </w:p>
    <w:p w:rsidR="005A2AC3" w:rsidRDefault="005A2AC3">
      <w:pPr>
        <w:rPr>
          <w:rFonts w:ascii="方正楷体_GBK" w:eastAsia="方正楷体_GBK" w:hAnsi="方正楷体_GBK" w:cs="方正楷体_GBK"/>
          <w:sz w:val="36"/>
          <w:szCs w:val="36"/>
        </w:rPr>
      </w:pPr>
    </w:p>
    <w:p w:rsidR="005A2AC3" w:rsidRDefault="005A2AC3">
      <w:pPr>
        <w:rPr>
          <w:rFonts w:ascii="方正楷体_GBK" w:eastAsia="方正楷体_GBK" w:hAnsi="方正楷体_GBK" w:cs="方正楷体_GBK"/>
          <w:sz w:val="36"/>
          <w:szCs w:val="36"/>
        </w:rPr>
      </w:pPr>
    </w:p>
    <w:p w:rsidR="005A2AC3" w:rsidRDefault="005A2AC3">
      <w:pPr>
        <w:rPr>
          <w:rFonts w:ascii="方正楷体_GBK" w:eastAsia="方正楷体_GBK" w:hAnsi="方正楷体_GBK" w:cs="方正楷体_GBK"/>
          <w:sz w:val="36"/>
          <w:szCs w:val="36"/>
        </w:rPr>
      </w:pPr>
    </w:p>
    <w:p w:rsidR="005A2AC3" w:rsidRDefault="005A2AC3">
      <w:pPr>
        <w:rPr>
          <w:rFonts w:ascii="方正楷体_GBK" w:eastAsia="方正楷体_GBK" w:hAnsi="方正楷体_GBK" w:cs="方正楷体_GBK"/>
          <w:sz w:val="36"/>
          <w:szCs w:val="36"/>
        </w:rPr>
      </w:pPr>
    </w:p>
    <w:p w:rsidR="005A2AC3" w:rsidRDefault="00697FC7">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lastRenderedPageBreak/>
        <w:t>【工作动态】</w:t>
      </w:r>
    </w:p>
    <w:p w:rsidR="005A2AC3" w:rsidRDefault="00697FC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贺州市召开乡村振兴暨土地整理、乡村风貌改造提升工作会议</w:t>
      </w:r>
    </w:p>
    <w:p w:rsidR="005A2AC3" w:rsidRDefault="005A2AC3">
      <w:pPr>
        <w:spacing w:line="640" w:lineRule="exact"/>
        <w:rPr>
          <w:sz w:val="32"/>
          <w:szCs w:val="32"/>
        </w:rPr>
      </w:pPr>
    </w:p>
    <w:p w:rsidR="005A2AC3" w:rsidRDefault="00697FC7">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日下午，贺州市召开乡村振兴暨土地整理、乡村风貌改造提升工作会议。贺州市委书记李宏庆出席会议并讲话，贺州市长林冠、市政协主席陆海平出席会议。</w:t>
      </w:r>
    </w:p>
    <w:p w:rsidR="005A2AC3" w:rsidRDefault="00697FC7">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李宏庆说，习近平总书记高度重视生态宜居美丽乡村建设工作，多次作出批示，强调要改善农村人居环境，重点做好垃圾污水处理、厕所革命、村容村貌提升等工作。自治区党委鹿心社书记多次对解决我区“有新房没新村、有新村没新貌”的问题作出指示，今</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日，鹿心社书记在玉林调研期间对乡村风貌提升工作作出了重要指示。在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日召开的</w:t>
      </w:r>
      <w:r>
        <w:rPr>
          <w:rFonts w:ascii="仿宋_GB2312" w:eastAsia="仿宋_GB2312" w:hAnsi="仿宋_GB2312" w:cs="仿宋_GB2312" w:hint="eastAsia"/>
          <w:sz w:val="32"/>
          <w:szCs w:val="32"/>
        </w:rPr>
        <w:t>全区乡村风貌提升三年行动工作调度会</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自治区党委常委严植婵要求各地乡村风貌提升示范带（区）建设工作</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月份要全面启动，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月份要全面铺开，</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月份要初见成效。全市各级各部门要认真学习领会实施乡村振风貌提升的重要意义和丰富内涵，切实把思想和行动高度统一到中央、自治区的决策部署上来。</w:t>
      </w:r>
    </w:p>
    <w:p w:rsidR="005A2AC3" w:rsidRDefault="00697FC7">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李宏庆强调，加快建设乡村风貌提升示范带（区）</w:t>
      </w:r>
      <w:r>
        <w:rPr>
          <w:rFonts w:ascii="仿宋_GB2312" w:eastAsia="仿宋_GB2312" w:hAnsi="仿宋_GB2312" w:cs="仿宋_GB2312" w:hint="eastAsia"/>
          <w:sz w:val="32"/>
          <w:szCs w:val="32"/>
        </w:rPr>
        <w:t>，党政领导“一把手”</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亲自抓，全力推进，并切实加强监督检查。</w:t>
      </w:r>
      <w:r>
        <w:rPr>
          <w:rFonts w:ascii="仿宋_GB2312" w:eastAsia="仿宋_GB2312" w:hAnsi="仿宋_GB2312" w:cs="仿宋_GB2312" w:hint="eastAsia"/>
          <w:sz w:val="32"/>
          <w:szCs w:val="32"/>
        </w:rPr>
        <w:t>一是</w:t>
      </w:r>
      <w:r>
        <w:rPr>
          <w:rFonts w:ascii="仿宋_GB2312" w:eastAsia="仿宋_GB2312" w:hAnsi="仿宋_GB2312" w:cs="仿宋_GB2312" w:hint="eastAsia"/>
          <w:sz w:val="32"/>
          <w:szCs w:val="32"/>
        </w:rPr>
        <w:t>加强组织领导，</w:t>
      </w:r>
      <w:r>
        <w:rPr>
          <w:rFonts w:ascii="仿宋_GB2312" w:eastAsia="仿宋_GB2312" w:hAnsi="仿宋_GB2312" w:cs="仿宋_GB2312" w:hint="eastAsia"/>
          <w:sz w:val="32"/>
          <w:szCs w:val="32"/>
        </w:rPr>
        <w:t>发挥</w:t>
      </w:r>
      <w:r>
        <w:rPr>
          <w:rFonts w:ascii="仿宋_GB2312" w:eastAsia="仿宋_GB2312" w:hAnsi="仿宋_GB2312" w:cs="仿宋_GB2312" w:hint="eastAsia"/>
          <w:sz w:val="32"/>
          <w:szCs w:val="32"/>
        </w:rPr>
        <w:t>基层党组织战斗堡垒作用和党员模范带头作用，</w:t>
      </w:r>
      <w:r>
        <w:rPr>
          <w:rFonts w:ascii="仿宋_GB2312" w:eastAsia="仿宋_GB2312" w:hAnsi="仿宋_GB2312" w:cs="仿宋_GB2312" w:hint="eastAsia"/>
          <w:sz w:val="32"/>
          <w:szCs w:val="32"/>
        </w:rPr>
        <w:t>用好在</w:t>
      </w:r>
      <w:r>
        <w:rPr>
          <w:rFonts w:ascii="仿宋_GB2312" w:eastAsia="仿宋_GB2312" w:hAnsi="仿宋_GB2312" w:cs="仿宋_GB2312" w:hint="eastAsia"/>
          <w:sz w:val="32"/>
          <w:szCs w:val="32"/>
        </w:rPr>
        <w:lastRenderedPageBreak/>
        <w:t>“三清三拆”、规划编制、风貌建管等各项提升工作中组织、带动、发动群众的</w:t>
      </w:r>
      <w:r>
        <w:rPr>
          <w:rFonts w:ascii="仿宋_GB2312" w:eastAsia="仿宋_GB2312" w:hAnsi="仿宋_GB2312" w:cs="仿宋_GB2312" w:hint="eastAsia"/>
          <w:sz w:val="32"/>
          <w:szCs w:val="32"/>
        </w:rPr>
        <w:t>成功经验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二是</w:t>
      </w:r>
      <w:r>
        <w:rPr>
          <w:rFonts w:ascii="仿宋_GB2312" w:eastAsia="仿宋_GB2312" w:hAnsi="仿宋_GB2312" w:cs="仿宋_GB2312" w:hint="eastAsia"/>
          <w:sz w:val="32"/>
          <w:szCs w:val="32"/>
        </w:rPr>
        <w:t>强化资金保障，各县（区）要集中人财物重点进行示范带建设打造工作，并先落实项目启动资金和应有的配套资金，确保“先动起来”，</w:t>
      </w:r>
      <w:r>
        <w:rPr>
          <w:rFonts w:ascii="仿宋_GB2312" w:eastAsia="仿宋_GB2312" w:hAnsi="仿宋_GB2312" w:cs="仿宋_GB2312" w:hint="eastAsia"/>
          <w:sz w:val="32"/>
          <w:szCs w:val="32"/>
        </w:rPr>
        <w:t>每个县（区）</w:t>
      </w:r>
      <w:r>
        <w:rPr>
          <w:rFonts w:ascii="仿宋_GB2312" w:eastAsia="仿宋_GB2312" w:hAnsi="仿宋_GB2312" w:cs="仿宋_GB2312" w:hint="eastAsia"/>
          <w:sz w:val="32"/>
          <w:szCs w:val="32"/>
        </w:rPr>
        <w:t>至少落实配套资金</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三是</w:t>
      </w:r>
      <w:r>
        <w:rPr>
          <w:rFonts w:ascii="仿宋_GB2312" w:eastAsia="仿宋_GB2312" w:hAnsi="仿宋_GB2312" w:cs="仿宋_GB2312" w:hint="eastAsia"/>
          <w:sz w:val="32"/>
          <w:szCs w:val="32"/>
        </w:rPr>
        <w:t>抓好考核问效。</w:t>
      </w:r>
      <w:r>
        <w:rPr>
          <w:rFonts w:ascii="仿宋_GB2312" w:eastAsia="仿宋_GB2312" w:hAnsi="仿宋_GB2312" w:cs="仿宋_GB2312" w:hint="eastAsia"/>
          <w:sz w:val="32"/>
          <w:szCs w:val="32"/>
        </w:rPr>
        <w:t>要签订乡村风貌提升工作责任状，加强督促考评。要建立“红黑榜”，对进展较快的前三名进行嘉奖，优先安排项目资金，对推进不力的后三名进行约谈和曝光，严重滞后的进行问责。</w:t>
      </w:r>
    </w:p>
    <w:p w:rsidR="005A2AC3" w:rsidRDefault="00697FC7">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会议指出，自</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月我市召开乡村风貌提升三年行动动员会以来，我市完成了市、县（区）级乡村风貌提升三年行动实施方案；富川县完成岔山村试点年度建设任务；各县（区）分</w:t>
      </w:r>
      <w:r>
        <w:rPr>
          <w:rFonts w:ascii="仿宋_GB2312" w:eastAsia="仿宋_GB2312" w:hAnsi="仿宋_GB2312" w:cs="仿宋_GB2312" w:hint="eastAsia"/>
          <w:sz w:val="32"/>
          <w:szCs w:val="32"/>
        </w:rPr>
        <w:t>别完成了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个村屯“三清三拆”任务。通过城乡建设用地增减挂，莲塘镇炭冲村马鞍寨等</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多个村屯拆除破烂房子</w:t>
      </w: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间，立面改造</w:t>
      </w:r>
      <w:r>
        <w:rPr>
          <w:rFonts w:ascii="仿宋_GB2312" w:eastAsia="仿宋_GB2312" w:hAnsi="仿宋_GB2312" w:cs="仿宋_GB2312" w:hint="eastAsia"/>
          <w:sz w:val="32"/>
          <w:szCs w:val="32"/>
        </w:rPr>
        <w:t>983</w:t>
      </w:r>
      <w:r>
        <w:rPr>
          <w:rFonts w:ascii="仿宋_GB2312" w:eastAsia="仿宋_GB2312" w:hAnsi="仿宋_GB2312" w:cs="仿宋_GB2312" w:hint="eastAsia"/>
          <w:sz w:val="32"/>
          <w:szCs w:val="32"/>
        </w:rPr>
        <w:t>平方米。葛坡镇宅祥村采取当场测量、当场拆除、当场发放补偿款的工作方式，拆除了</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多间废弃房屋，共计</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多平方米。</w:t>
      </w:r>
    </w:p>
    <w:p w:rsidR="005A2AC3" w:rsidRDefault="00697FC7">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会议要求，在开展乡村风貌提升工作中，各县（区）要</w:t>
      </w:r>
      <w:r>
        <w:rPr>
          <w:rFonts w:ascii="仿宋_GB2312" w:eastAsia="仿宋_GB2312" w:hAnsi="仿宋_GB2312" w:cs="仿宋_GB2312" w:hint="eastAsia"/>
          <w:sz w:val="32"/>
          <w:szCs w:val="32"/>
        </w:rPr>
        <w:t>坚持规划先行，编制乡村风貌提升规划，明确不同的发展目标和风格特色，完善乡村风貌提升规划体系。</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坚持“政府引导、群众主体”，政府通过奖补激励、择优重点扶持等手段发动群众参与新农村建设，彻底改变过去“政府干、群众看”的状</w:t>
      </w:r>
      <w:r>
        <w:rPr>
          <w:rFonts w:ascii="仿宋_GB2312" w:eastAsia="仿宋_GB2312" w:hAnsi="仿宋_GB2312" w:cs="仿宋_GB2312" w:hint="eastAsia"/>
          <w:sz w:val="32"/>
          <w:szCs w:val="32"/>
        </w:rPr>
        <w:t>况</w:t>
      </w:r>
      <w:r>
        <w:rPr>
          <w:rFonts w:ascii="仿宋_GB2312" w:eastAsia="仿宋_GB2312" w:hAnsi="仿宋_GB2312" w:cs="仿宋_GB2312" w:hint="eastAsia"/>
          <w:sz w:val="32"/>
          <w:szCs w:val="32"/>
        </w:rPr>
        <w:t>。要和城乡建设用地增减挂工作紧密结合，在村庄中拆除农村危旧房屋、废弃猪牛栏圈、废弃</w:t>
      </w:r>
      <w:r>
        <w:rPr>
          <w:rFonts w:ascii="仿宋_GB2312" w:eastAsia="仿宋_GB2312" w:hAnsi="仿宋_GB2312" w:cs="仿宋_GB2312" w:hint="eastAsia"/>
          <w:sz w:val="32"/>
          <w:szCs w:val="32"/>
        </w:rPr>
        <w:lastRenderedPageBreak/>
        <w:t>建筑的“残垣断壁”并进行复垦。既对空心村进行整治，推进“三清三拆”工作，又可以将节余周转指标挂牌出让，收益资金反哺乡村风貌提升建设。</w:t>
      </w:r>
    </w:p>
    <w:p w:rsidR="005A2AC3" w:rsidRDefault="00697FC7">
      <w:pPr>
        <w:spacing w:line="640" w:lineRule="exact"/>
        <w:ind w:firstLine="649"/>
        <w:rPr>
          <w:rFonts w:ascii="仿宋_GB2312" w:eastAsia="仿宋_GB2312" w:hAnsi="仿宋_GB2312" w:cs="仿宋_GB2312"/>
          <w:sz w:val="32"/>
          <w:szCs w:val="32"/>
        </w:rPr>
      </w:pPr>
      <w:r>
        <w:rPr>
          <w:rFonts w:ascii="仿宋_GB2312" w:eastAsia="仿宋_GB2312" w:hAnsi="仿宋_GB2312" w:cs="仿宋_GB2312" w:hint="eastAsia"/>
          <w:sz w:val="32"/>
          <w:szCs w:val="32"/>
        </w:rPr>
        <w:t>会上，自治区住建厅村镇处副处长刘哲受邀作《开展乡村风貌提升三年行动建设壮美广西——广西乡村风貌提升主要特点和技术要点案例》主题报告。贺州市委副书记钟得志主持会议并对乡村振兴工作进行部署，副市长杨育智就土地整理和乡村风貌改造提升工作作具体布置。</w:t>
      </w:r>
    </w:p>
    <w:p w:rsidR="005A2AC3" w:rsidRDefault="00697FC7">
      <w:pPr>
        <w:spacing w:line="640" w:lineRule="exact"/>
        <w:ind w:firstLine="649"/>
        <w:rPr>
          <w:rFonts w:ascii="仿宋_GB2312" w:eastAsia="仿宋_GB2312" w:hAnsi="仿宋_GB2312" w:cs="仿宋_GB2312"/>
          <w:sz w:val="32"/>
          <w:szCs w:val="32"/>
        </w:rPr>
      </w:pPr>
      <w:r>
        <w:rPr>
          <w:rFonts w:ascii="仿宋_GB2312" w:eastAsia="仿宋_GB2312" w:hAnsi="仿宋_GB2312" w:cs="仿宋_GB2312" w:hint="eastAsia"/>
          <w:sz w:val="32"/>
          <w:szCs w:val="32"/>
        </w:rPr>
        <w:t>贺州市四家班子领导，其他厅级领导，贺州学院主要领导</w:t>
      </w:r>
      <w:r>
        <w:rPr>
          <w:rFonts w:ascii="仿宋_GB2312" w:eastAsia="仿宋_GB2312" w:hAnsi="仿宋_GB2312" w:cs="仿宋_GB2312" w:hint="eastAsia"/>
          <w:sz w:val="32"/>
          <w:szCs w:val="32"/>
        </w:rPr>
        <w:t>，市直、中直和区直驻贺单位以及各市直企业有关负责同志，各县（区）四家班子领导，市直单位相关科室负责人等参加会议。</w:t>
      </w:r>
    </w:p>
    <w:p w:rsidR="005A2AC3" w:rsidRDefault="00697FC7">
      <w:pPr>
        <w:jc w:val="center"/>
        <w:rPr>
          <w:sz w:val="32"/>
          <w:szCs w:val="32"/>
        </w:rPr>
      </w:pPr>
      <w:r>
        <w:rPr>
          <w:rFonts w:hint="eastAsia"/>
          <w:noProof/>
          <w:sz w:val="32"/>
          <w:szCs w:val="32"/>
        </w:rPr>
        <w:drawing>
          <wp:inline distT="0" distB="0" distL="114300" distR="114300">
            <wp:extent cx="5642610" cy="3762375"/>
            <wp:effectExtent l="0" t="0" r="15240" b="9525"/>
            <wp:docPr id="7" name="图片 7" descr="图为贺州市乡村振兴暨土地整理、乡村风貌改造提升工作会议现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为贺州市乡村振兴暨土地整理、乡村风貌改造提升工作会议现场。"/>
                    <pic:cNvPicPr>
                      <a:picLocks noChangeAspect="1"/>
                    </pic:cNvPicPr>
                  </pic:nvPicPr>
                  <pic:blipFill>
                    <a:blip r:embed="rId7"/>
                    <a:stretch>
                      <a:fillRect/>
                    </a:stretch>
                  </pic:blipFill>
                  <pic:spPr>
                    <a:xfrm>
                      <a:off x="0" y="0"/>
                      <a:ext cx="5642610" cy="3762375"/>
                    </a:xfrm>
                    <a:prstGeom prst="rect">
                      <a:avLst/>
                    </a:prstGeom>
                  </pic:spPr>
                </pic:pic>
              </a:graphicData>
            </a:graphic>
          </wp:inline>
        </w:drawing>
      </w:r>
    </w:p>
    <w:p w:rsidR="005A2AC3" w:rsidRDefault="00697FC7">
      <w:pPr>
        <w:jc w:val="center"/>
        <w:rPr>
          <w:sz w:val="24"/>
        </w:rPr>
      </w:pPr>
      <w:r>
        <w:rPr>
          <w:rFonts w:hint="eastAsia"/>
          <w:sz w:val="24"/>
        </w:rPr>
        <w:t>图为贺州市乡村振兴暨土地整理、乡村风貌改造提升工作会议现场。</w:t>
      </w:r>
    </w:p>
    <w:p w:rsidR="005A2AC3" w:rsidRDefault="00697FC7">
      <w:pPr>
        <w:jc w:val="center"/>
        <w:rPr>
          <w:sz w:val="32"/>
          <w:szCs w:val="32"/>
        </w:rPr>
      </w:pPr>
      <w:r>
        <w:rPr>
          <w:rFonts w:hint="eastAsia"/>
          <w:noProof/>
          <w:sz w:val="32"/>
          <w:szCs w:val="32"/>
        </w:rPr>
        <w:lastRenderedPageBreak/>
        <w:drawing>
          <wp:inline distT="0" distB="0" distL="114300" distR="114300">
            <wp:extent cx="5729605" cy="3820160"/>
            <wp:effectExtent l="0" t="0" r="4445" b="8890"/>
            <wp:docPr id="4" name="图片 4" descr="图为贺州市委书记李宏庆作重要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为贺州市委书记李宏庆作重要讲话。"/>
                    <pic:cNvPicPr>
                      <a:picLocks noChangeAspect="1"/>
                    </pic:cNvPicPr>
                  </pic:nvPicPr>
                  <pic:blipFill>
                    <a:blip r:embed="rId8"/>
                    <a:stretch>
                      <a:fillRect/>
                    </a:stretch>
                  </pic:blipFill>
                  <pic:spPr>
                    <a:xfrm>
                      <a:off x="0" y="0"/>
                      <a:ext cx="5729605" cy="3820160"/>
                    </a:xfrm>
                    <a:prstGeom prst="rect">
                      <a:avLst/>
                    </a:prstGeom>
                  </pic:spPr>
                </pic:pic>
              </a:graphicData>
            </a:graphic>
          </wp:inline>
        </w:drawing>
      </w:r>
    </w:p>
    <w:p w:rsidR="005A2AC3" w:rsidRDefault="00697FC7">
      <w:pPr>
        <w:jc w:val="center"/>
        <w:rPr>
          <w:sz w:val="24"/>
        </w:rPr>
      </w:pPr>
      <w:r>
        <w:rPr>
          <w:rFonts w:hint="eastAsia"/>
          <w:sz w:val="24"/>
        </w:rPr>
        <w:t>图为贺州市委书记李宏庆作重要讲话。</w:t>
      </w:r>
    </w:p>
    <w:p w:rsidR="005A2AC3" w:rsidRDefault="00697FC7">
      <w:pPr>
        <w:jc w:val="center"/>
        <w:rPr>
          <w:sz w:val="32"/>
          <w:szCs w:val="32"/>
        </w:rPr>
      </w:pPr>
      <w:r>
        <w:rPr>
          <w:rFonts w:hint="eastAsia"/>
          <w:noProof/>
          <w:sz w:val="32"/>
          <w:szCs w:val="32"/>
        </w:rPr>
        <w:drawing>
          <wp:inline distT="0" distB="0" distL="114300" distR="114300">
            <wp:extent cx="5706110" cy="3804285"/>
            <wp:effectExtent l="0" t="0" r="8890" b="5715"/>
            <wp:docPr id="6" name="图片 6" descr="图为自治区住建厅村镇处副处长刘哲受邀作《开展乡村风貌提升三年行动建设壮美广西——广西乡村风貌提升主要特点和技术要点案例》主题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为自治区住建厅村镇处副处长刘哲受邀作《开展乡村风貌提升三年行动建设壮美广西——广西乡村风貌提升主要特点和技术要点案例》主题报告。"/>
                    <pic:cNvPicPr>
                      <a:picLocks noChangeAspect="1"/>
                    </pic:cNvPicPr>
                  </pic:nvPicPr>
                  <pic:blipFill>
                    <a:blip r:embed="rId9"/>
                    <a:stretch>
                      <a:fillRect/>
                    </a:stretch>
                  </pic:blipFill>
                  <pic:spPr>
                    <a:xfrm>
                      <a:off x="0" y="0"/>
                      <a:ext cx="5706110" cy="3804285"/>
                    </a:xfrm>
                    <a:prstGeom prst="rect">
                      <a:avLst/>
                    </a:prstGeom>
                  </pic:spPr>
                </pic:pic>
              </a:graphicData>
            </a:graphic>
          </wp:inline>
        </w:drawing>
      </w:r>
    </w:p>
    <w:p w:rsidR="005A2AC3" w:rsidRDefault="00697FC7">
      <w:pPr>
        <w:jc w:val="center"/>
        <w:rPr>
          <w:sz w:val="24"/>
        </w:rPr>
      </w:pPr>
      <w:r>
        <w:rPr>
          <w:rFonts w:hint="eastAsia"/>
          <w:sz w:val="24"/>
        </w:rPr>
        <w:t>图为自治区住建厅村镇处副处长刘哲受邀作《开展乡村风貌提升三年行动建设壮美广西——广西乡村风貌提升主要特点和技术要点案例》主题报告。</w:t>
      </w:r>
    </w:p>
    <w:p w:rsidR="005A2AC3" w:rsidRDefault="005A2AC3">
      <w:pPr>
        <w:rPr>
          <w:sz w:val="32"/>
          <w:szCs w:val="32"/>
        </w:rPr>
      </w:pPr>
    </w:p>
    <w:p w:rsidR="005A2AC3" w:rsidRDefault="00697FC7">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lastRenderedPageBreak/>
        <w:t>【经验交流】</w:t>
      </w:r>
    </w:p>
    <w:p w:rsidR="005A2AC3" w:rsidRDefault="00697FC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增减挂钩助力乡村风貌提升</w:t>
      </w:r>
    </w:p>
    <w:p w:rsidR="005A2AC3" w:rsidRDefault="00697FC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——八步区莲塘镇炭冲村马鞍寨增减挂钩助力乡村风貌提升工作纪实</w:t>
      </w:r>
    </w:p>
    <w:p w:rsidR="005A2AC3" w:rsidRDefault="005A2AC3">
      <w:pPr>
        <w:ind w:firstLine="648"/>
        <w:rPr>
          <w:rFonts w:ascii="仿宋_GB2312" w:eastAsia="仿宋_GB2312" w:hAnsi="宋体"/>
          <w:sz w:val="32"/>
          <w:szCs w:val="32"/>
        </w:rPr>
      </w:pP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马鞍寨属莲塘镇炭冲村所辖自然村，位于贺州市八步区莲塘镇东部，毗邻</w:t>
      </w:r>
      <w:r>
        <w:rPr>
          <w:rFonts w:ascii="仿宋_GB2312" w:eastAsia="仿宋_GB2312" w:hAnsi="宋体" w:hint="eastAsia"/>
          <w:sz w:val="32"/>
          <w:szCs w:val="32"/>
        </w:rPr>
        <w:t>323</w:t>
      </w:r>
      <w:r>
        <w:rPr>
          <w:rFonts w:ascii="仿宋_GB2312" w:eastAsia="仿宋_GB2312" w:hAnsi="宋体" w:hint="eastAsia"/>
          <w:sz w:val="32"/>
          <w:szCs w:val="32"/>
        </w:rPr>
        <w:t>国道，距贺州市区约</w:t>
      </w:r>
      <w:r>
        <w:rPr>
          <w:rFonts w:ascii="仿宋_GB2312" w:eastAsia="仿宋_GB2312" w:hAnsi="宋体" w:hint="eastAsia"/>
          <w:sz w:val="32"/>
          <w:szCs w:val="32"/>
        </w:rPr>
        <w:t>18</w:t>
      </w:r>
      <w:r>
        <w:rPr>
          <w:rFonts w:ascii="仿宋_GB2312" w:eastAsia="仿宋_GB2312" w:hAnsi="宋体" w:hint="eastAsia"/>
          <w:sz w:val="32"/>
          <w:szCs w:val="32"/>
        </w:rPr>
        <w:t>公里，全寨有</w:t>
      </w:r>
      <w:r>
        <w:rPr>
          <w:rFonts w:ascii="仿宋_GB2312" w:eastAsia="仿宋_GB2312" w:hAnsi="宋体" w:hint="eastAsia"/>
          <w:sz w:val="32"/>
          <w:szCs w:val="32"/>
        </w:rPr>
        <w:t>180</w:t>
      </w:r>
      <w:r>
        <w:rPr>
          <w:rFonts w:ascii="仿宋_GB2312" w:eastAsia="仿宋_GB2312" w:hAnsi="宋体" w:hint="eastAsia"/>
          <w:sz w:val="32"/>
          <w:szCs w:val="32"/>
        </w:rPr>
        <w:t>户，</w:t>
      </w:r>
      <w:r>
        <w:rPr>
          <w:rFonts w:ascii="仿宋_GB2312" w:eastAsia="仿宋_GB2312" w:hAnsi="宋体" w:hint="eastAsia"/>
          <w:sz w:val="32"/>
          <w:szCs w:val="32"/>
        </w:rPr>
        <w:t>856</w:t>
      </w:r>
      <w:r>
        <w:rPr>
          <w:rFonts w:ascii="仿宋_GB2312" w:eastAsia="仿宋_GB2312" w:hAnsi="宋体" w:hint="eastAsia"/>
          <w:sz w:val="32"/>
          <w:szCs w:val="32"/>
        </w:rPr>
        <w:t>人，这里交通区位优越，农业资源丰富。近年来，马鞍寨按照自治区、贺州市的工作部署，坚持党建引领、村民主体，以“三清三拆”为抓手，强力推进乡村风貌提升行动，着力打造宜居宜业宜游的美丽乡村环境。</w:t>
      </w:r>
    </w:p>
    <w:p w:rsidR="005A2AC3" w:rsidRDefault="00697FC7">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加强组织领导，形成强大合力</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自治区党委常委、副主席严植婵，自治区党委常委、组织部长曾万明，贺州市委书记李宏庆，市长林冠，副市长杨育智等领导多次到马鞍寨现场调研，召开座谈会，指导马鞍寨乡村风貌提升工作，并</w:t>
      </w:r>
      <w:r>
        <w:rPr>
          <w:rFonts w:ascii="仿宋_GB2312" w:eastAsia="仿宋_GB2312" w:hAnsi="宋体" w:hint="eastAsia"/>
          <w:sz w:val="32"/>
          <w:szCs w:val="32"/>
        </w:rPr>
        <w:t>在风貌提升的政策和资金落实上给与大力支持。八步区区委书记徐海浪，区长雷少华等区领导，到马鞍寨走家串户，现场办公，把问题解决在一线。各级领导的关心和支持，形成马鞍寨乡村风貌提升的强大合力，也是马鞍寨风貌提升取得好成效的重要保障。</w:t>
      </w:r>
    </w:p>
    <w:p w:rsidR="005A2AC3" w:rsidRDefault="00697FC7">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坚持党建引领，发挥村民主体作用</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马鞍寨坚持规划先行，结合山形水势、自然风光，充分挖掘客家文化内涵，塑造乡土特色的乡村旅游休闲环境。马鞍寨村民自发</w:t>
      </w:r>
      <w:r>
        <w:rPr>
          <w:rFonts w:ascii="仿宋_GB2312" w:eastAsia="仿宋_GB2312" w:hAnsi="宋体" w:hint="eastAsia"/>
          <w:sz w:val="32"/>
          <w:szCs w:val="32"/>
        </w:rPr>
        <w:lastRenderedPageBreak/>
        <w:t>组织到全国各地参观学习，他们先后到了南宁药用植物园考察绿植美化，桂林恭城考察农家乐，河南南街村参观学习，一边用脚步丈量土地一边思想碰撞规划村</w:t>
      </w:r>
      <w:r>
        <w:rPr>
          <w:rFonts w:ascii="仿宋_GB2312" w:eastAsia="仿宋_GB2312" w:hAnsi="宋体" w:hint="eastAsia"/>
          <w:sz w:val="32"/>
          <w:szCs w:val="32"/>
        </w:rPr>
        <w:t>庄建设。村党小组成立“先锋队”</w:t>
      </w:r>
      <w:r>
        <w:rPr>
          <w:rFonts w:ascii="仿宋_GB2312" w:eastAsia="仿宋_GB2312" w:hAnsi="宋体" w:hint="eastAsia"/>
          <w:sz w:val="32"/>
          <w:szCs w:val="32"/>
        </w:rPr>
        <w:t xml:space="preserve"> </w:t>
      </w:r>
      <w:r>
        <w:rPr>
          <w:rFonts w:ascii="仿宋_GB2312" w:eastAsia="仿宋_GB2312" w:hAnsi="宋体" w:hint="eastAsia"/>
          <w:sz w:val="32"/>
          <w:szCs w:val="32"/>
        </w:rPr>
        <w:t>村民成立“突击队”，全体队员宣誓，不达目的不罢休，誓将马鞍寨建成精品新农村。他们的期望，努力做好文化生态旅游示范区，更要做自觉自愿自主建造美丽家园的典范，让全国农民知道，农村广阔天地大有作为。</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在开展乡村风貌提升行动中，马鞍寨大力推行八步区出台的“两筹两补”财政奖励政策，在镇党委、村委引导下，成立党员突击队、村民理事会和“顾问团”，“三驾马车”并驾齐驱，“顾问团”主要由村里的经济能人，有声望、外出创业的成功人士等新乡贤组成，他们做好政策的解读、村屯的规划、群众的思想工作，在村</w:t>
      </w:r>
      <w:r>
        <w:rPr>
          <w:rFonts w:ascii="仿宋_GB2312" w:eastAsia="仿宋_GB2312" w:hAnsi="宋体" w:hint="eastAsia"/>
          <w:sz w:val="32"/>
          <w:szCs w:val="32"/>
        </w:rPr>
        <w:t>民和政府间发挥了“桥梁”作用；“村民理事会”“党员突击队”带领群众自筹资金，投工投劳，群策群力建设美丽的家园。“三驾马车”把政府引导与村民主体紧密结合起来，制定村规民约和各项管理制度，破解项目建设中遇到的难题，疏导群众抵触情绪，让乡村风貌提升、增减挂钩等项目建设如期推进。近年来，村民和外出务工人员共自筹资金</w:t>
      </w:r>
      <w:r>
        <w:rPr>
          <w:rFonts w:ascii="仿宋_GB2312" w:eastAsia="仿宋_GB2312" w:hAnsi="宋体" w:hint="eastAsia"/>
          <w:sz w:val="32"/>
          <w:szCs w:val="32"/>
        </w:rPr>
        <w:t>500</w:t>
      </w:r>
      <w:r>
        <w:rPr>
          <w:rFonts w:ascii="仿宋_GB2312" w:eastAsia="仿宋_GB2312" w:hAnsi="宋体" w:hint="eastAsia"/>
          <w:sz w:val="32"/>
          <w:szCs w:val="32"/>
        </w:rPr>
        <w:t>多万元，掀起了马鞍寨乡村风貌提升的新高潮。</w:t>
      </w:r>
    </w:p>
    <w:p w:rsidR="005A2AC3" w:rsidRDefault="00697FC7">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用活奖补政策，完善基础设施</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马鞍寨用活城乡建设用地增减挂钩政策，为解决乡村风貌提升提供资金保障。</w:t>
      </w:r>
      <w:r>
        <w:rPr>
          <w:rFonts w:ascii="仿宋_GB2312" w:eastAsia="仿宋_GB2312" w:hAnsi="宋体" w:hint="eastAsia"/>
          <w:sz w:val="32"/>
          <w:szCs w:val="32"/>
        </w:rPr>
        <w:t>2018</w:t>
      </w:r>
      <w:r>
        <w:rPr>
          <w:rFonts w:ascii="仿宋_GB2312" w:eastAsia="仿宋_GB2312" w:hAnsi="宋体" w:hint="eastAsia"/>
          <w:sz w:val="32"/>
          <w:szCs w:val="32"/>
        </w:rPr>
        <w:t>年以来，马鞍寨完成</w:t>
      </w:r>
      <w:r>
        <w:rPr>
          <w:rFonts w:ascii="仿宋_GB2312" w:eastAsia="仿宋_GB2312" w:hAnsi="宋体" w:hint="eastAsia"/>
          <w:sz w:val="32"/>
          <w:szCs w:val="32"/>
        </w:rPr>
        <w:t>16.0531</w:t>
      </w:r>
      <w:r>
        <w:rPr>
          <w:rFonts w:ascii="仿宋_GB2312" w:eastAsia="仿宋_GB2312" w:hAnsi="宋体" w:hint="eastAsia"/>
          <w:sz w:val="32"/>
          <w:szCs w:val="32"/>
        </w:rPr>
        <w:t>公顷增减挂钩示范点</w:t>
      </w:r>
      <w:r>
        <w:rPr>
          <w:rFonts w:ascii="仿宋_GB2312" w:eastAsia="仿宋_GB2312" w:hAnsi="宋体" w:hint="eastAsia"/>
          <w:sz w:val="32"/>
          <w:szCs w:val="32"/>
        </w:rPr>
        <w:t>项目，其中</w:t>
      </w:r>
      <w:r>
        <w:rPr>
          <w:rFonts w:ascii="仿宋_GB2312" w:eastAsia="仿宋_GB2312" w:hAnsi="宋体" w:hint="eastAsia"/>
          <w:sz w:val="32"/>
          <w:szCs w:val="32"/>
        </w:rPr>
        <w:t>12.7905</w:t>
      </w:r>
      <w:r>
        <w:rPr>
          <w:rFonts w:ascii="仿宋_GB2312" w:eastAsia="仿宋_GB2312" w:hAnsi="宋体" w:hint="eastAsia"/>
          <w:sz w:val="32"/>
          <w:szCs w:val="32"/>
        </w:rPr>
        <w:t>公顷项目先行使用节余周转指标以</w:t>
      </w:r>
      <w:r>
        <w:rPr>
          <w:rFonts w:ascii="仿宋_GB2312" w:eastAsia="仿宋_GB2312" w:hAnsi="宋体" w:hint="eastAsia"/>
          <w:sz w:val="32"/>
          <w:szCs w:val="32"/>
        </w:rPr>
        <w:lastRenderedPageBreak/>
        <w:t>5045.0865</w:t>
      </w:r>
      <w:r>
        <w:rPr>
          <w:rFonts w:ascii="仿宋_GB2312" w:eastAsia="仿宋_GB2312" w:hAnsi="宋体" w:hint="eastAsia"/>
          <w:sz w:val="32"/>
          <w:szCs w:val="32"/>
        </w:rPr>
        <w:t>万元挂牌流转。马鞍寨群众自筹资金</w:t>
      </w:r>
      <w:r>
        <w:rPr>
          <w:rFonts w:ascii="仿宋_GB2312" w:eastAsia="仿宋_GB2312" w:hAnsi="宋体" w:hint="eastAsia"/>
          <w:sz w:val="32"/>
          <w:szCs w:val="32"/>
        </w:rPr>
        <w:t>500</w:t>
      </w:r>
      <w:r>
        <w:rPr>
          <w:rFonts w:ascii="仿宋_GB2312" w:eastAsia="仿宋_GB2312" w:hAnsi="宋体" w:hint="eastAsia"/>
          <w:sz w:val="32"/>
          <w:szCs w:val="32"/>
        </w:rPr>
        <w:t>万元，区政府</w:t>
      </w:r>
      <w:r>
        <w:rPr>
          <w:rFonts w:ascii="仿宋_GB2312" w:eastAsia="仿宋_GB2312" w:hAnsi="宋体" w:hint="eastAsia"/>
          <w:sz w:val="32"/>
          <w:szCs w:val="32"/>
        </w:rPr>
        <w:t>1:1</w:t>
      </w:r>
      <w:r>
        <w:rPr>
          <w:rFonts w:ascii="仿宋_GB2312" w:eastAsia="仿宋_GB2312" w:hAnsi="宋体" w:hint="eastAsia"/>
          <w:sz w:val="32"/>
          <w:szCs w:val="32"/>
        </w:rPr>
        <w:t>财政奖补资金</w:t>
      </w:r>
      <w:r>
        <w:rPr>
          <w:rFonts w:ascii="仿宋_GB2312" w:eastAsia="仿宋_GB2312" w:hAnsi="宋体" w:hint="eastAsia"/>
          <w:sz w:val="32"/>
          <w:szCs w:val="32"/>
        </w:rPr>
        <w:t>500</w:t>
      </w:r>
      <w:r>
        <w:rPr>
          <w:rFonts w:ascii="仿宋_GB2312" w:eastAsia="仿宋_GB2312" w:hAnsi="宋体" w:hint="eastAsia"/>
          <w:sz w:val="32"/>
          <w:szCs w:val="32"/>
        </w:rPr>
        <w:t>万元。利用城乡建设用地增减挂钩项目和“两筹两补”财政奖补资金，完善一批乡村基础设施、公共服务设施和休闲旅游设施，兴建“随园”农家乐，建设村屯道路</w:t>
      </w:r>
      <w:r>
        <w:rPr>
          <w:rFonts w:ascii="仿宋_GB2312" w:eastAsia="仿宋_GB2312" w:hAnsi="宋体" w:hint="eastAsia"/>
          <w:sz w:val="32"/>
          <w:szCs w:val="32"/>
        </w:rPr>
        <w:t>35</w:t>
      </w:r>
      <w:r>
        <w:rPr>
          <w:rFonts w:ascii="仿宋_GB2312" w:eastAsia="仿宋_GB2312" w:hAnsi="宋体" w:hint="eastAsia"/>
          <w:sz w:val="32"/>
          <w:szCs w:val="32"/>
        </w:rPr>
        <w:t>公里，篮球场、停车场各</w:t>
      </w:r>
      <w:r>
        <w:rPr>
          <w:rFonts w:ascii="仿宋_GB2312" w:eastAsia="仿宋_GB2312" w:hAnsi="宋体" w:hint="eastAsia"/>
          <w:sz w:val="32"/>
          <w:szCs w:val="32"/>
        </w:rPr>
        <w:t>2</w:t>
      </w:r>
      <w:r>
        <w:rPr>
          <w:rFonts w:ascii="仿宋_GB2312" w:eastAsia="仿宋_GB2312" w:hAnsi="宋体" w:hint="eastAsia"/>
          <w:sz w:val="32"/>
          <w:szCs w:val="32"/>
        </w:rPr>
        <w:t>个，戏台</w:t>
      </w:r>
      <w:r>
        <w:rPr>
          <w:rFonts w:ascii="仿宋_GB2312" w:eastAsia="仿宋_GB2312" w:hAnsi="宋体" w:hint="eastAsia"/>
          <w:sz w:val="32"/>
          <w:szCs w:val="32"/>
        </w:rPr>
        <w:t>1</w:t>
      </w:r>
      <w:r>
        <w:rPr>
          <w:rFonts w:ascii="仿宋_GB2312" w:eastAsia="仿宋_GB2312" w:hAnsi="宋体" w:hint="eastAsia"/>
          <w:sz w:val="32"/>
          <w:szCs w:val="32"/>
        </w:rPr>
        <w:t>个，凉亭</w:t>
      </w:r>
      <w:r>
        <w:rPr>
          <w:rFonts w:ascii="仿宋_GB2312" w:eastAsia="仿宋_GB2312" w:hAnsi="宋体" w:hint="eastAsia"/>
          <w:sz w:val="32"/>
          <w:szCs w:val="32"/>
        </w:rPr>
        <w:t>5</w:t>
      </w:r>
      <w:r>
        <w:rPr>
          <w:rFonts w:ascii="仿宋_GB2312" w:eastAsia="仿宋_GB2312" w:hAnsi="宋体" w:hint="eastAsia"/>
          <w:sz w:val="32"/>
          <w:szCs w:val="32"/>
        </w:rPr>
        <w:t>个，安装了</w:t>
      </w:r>
      <w:r>
        <w:rPr>
          <w:rFonts w:ascii="仿宋_GB2312" w:eastAsia="仿宋_GB2312" w:hAnsi="宋体" w:hint="eastAsia"/>
          <w:sz w:val="32"/>
          <w:szCs w:val="32"/>
        </w:rPr>
        <w:t>120</w:t>
      </w:r>
      <w:r>
        <w:rPr>
          <w:rFonts w:ascii="仿宋_GB2312" w:eastAsia="仿宋_GB2312" w:hAnsi="宋体" w:hint="eastAsia"/>
          <w:sz w:val="32"/>
          <w:szCs w:val="32"/>
        </w:rPr>
        <w:t>盏太阳能路灯，实现村屯亮化；铺设绿化带</w:t>
      </w:r>
      <w:r>
        <w:rPr>
          <w:rFonts w:ascii="仿宋_GB2312" w:eastAsia="仿宋_GB2312" w:hAnsi="宋体" w:hint="eastAsia"/>
          <w:sz w:val="32"/>
          <w:szCs w:val="32"/>
        </w:rPr>
        <w:t>3000</w:t>
      </w:r>
      <w:r>
        <w:rPr>
          <w:rFonts w:ascii="仿宋_GB2312" w:eastAsia="仿宋_GB2312" w:hAnsi="宋体" w:hint="eastAsia"/>
          <w:sz w:val="32"/>
          <w:szCs w:val="32"/>
        </w:rPr>
        <w:t>平方米，达到村屯绿化和美化；兴建安全饮水工程</w:t>
      </w:r>
      <w:r>
        <w:rPr>
          <w:rFonts w:ascii="仿宋_GB2312" w:eastAsia="仿宋_GB2312" w:hAnsi="宋体" w:hint="eastAsia"/>
          <w:sz w:val="32"/>
          <w:szCs w:val="32"/>
        </w:rPr>
        <w:t>1</w:t>
      </w:r>
      <w:r>
        <w:rPr>
          <w:rFonts w:ascii="仿宋_GB2312" w:eastAsia="仿宋_GB2312" w:hAnsi="宋体" w:hint="eastAsia"/>
          <w:sz w:val="32"/>
          <w:szCs w:val="32"/>
        </w:rPr>
        <w:t>处，实现饮水净化，用活财政奖补政策，激发了群众主动参与的热情。</w:t>
      </w:r>
    </w:p>
    <w:p w:rsidR="005A2AC3" w:rsidRDefault="00697FC7">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推</w:t>
      </w:r>
      <w:r>
        <w:rPr>
          <w:rFonts w:ascii="方正黑体_GBK" w:eastAsia="方正黑体_GBK" w:hAnsi="方正黑体_GBK" w:cs="方正黑体_GBK" w:hint="eastAsia"/>
          <w:sz w:val="32"/>
          <w:szCs w:val="32"/>
        </w:rPr>
        <w:t>进“三清三拆”，留住美丽乡愁</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马鞍寨充分挖掘客家文化、农耕文化内涵，按照当地的传统和习俗，积极推进“三清三拆”工作，即清理房前屋后的杂草杂物，清理村屯、道路垃圾，清理沟渠、水塘、河流淤泥垃圾；拆除旧房危房、废弃猪牛栏及厕所，拆除乱搭乱建、违章建筑，拆除非法违规广告等，有效解决农村脏乱差问题，提升乡村风貌水平，以优美的村屯环境留得住诗意，载得动乡愁。近年来，马鞍寨共拆除废弃房子</w:t>
      </w:r>
      <w:r>
        <w:rPr>
          <w:rFonts w:ascii="仿宋_GB2312" w:eastAsia="仿宋_GB2312" w:hAnsi="宋体" w:hint="eastAsia"/>
          <w:sz w:val="32"/>
          <w:szCs w:val="32"/>
        </w:rPr>
        <w:t>12</w:t>
      </w:r>
      <w:r>
        <w:rPr>
          <w:rFonts w:ascii="仿宋_GB2312" w:eastAsia="仿宋_GB2312" w:hAnsi="宋体" w:hint="eastAsia"/>
          <w:sz w:val="32"/>
          <w:szCs w:val="32"/>
        </w:rPr>
        <w:t>间，拆除废弃猪圈、牛栏</w:t>
      </w:r>
      <w:r>
        <w:rPr>
          <w:rFonts w:ascii="仿宋_GB2312" w:eastAsia="仿宋_GB2312" w:hAnsi="宋体" w:hint="eastAsia"/>
          <w:sz w:val="32"/>
          <w:szCs w:val="32"/>
        </w:rPr>
        <w:t>15</w:t>
      </w:r>
      <w:r>
        <w:rPr>
          <w:rFonts w:ascii="仿宋_GB2312" w:eastAsia="仿宋_GB2312" w:hAnsi="宋体" w:hint="eastAsia"/>
          <w:sz w:val="32"/>
          <w:szCs w:val="32"/>
        </w:rPr>
        <w:t>处，拆除杂物堆</w:t>
      </w:r>
      <w:r>
        <w:rPr>
          <w:rFonts w:ascii="仿宋_GB2312" w:eastAsia="仿宋_GB2312" w:hAnsi="宋体" w:hint="eastAsia"/>
          <w:sz w:val="32"/>
          <w:szCs w:val="32"/>
        </w:rPr>
        <w:t>18</w:t>
      </w:r>
      <w:r>
        <w:rPr>
          <w:rFonts w:ascii="仿宋_GB2312" w:eastAsia="仿宋_GB2312" w:hAnsi="宋体" w:hint="eastAsia"/>
          <w:sz w:val="32"/>
          <w:szCs w:val="32"/>
        </w:rPr>
        <w:t>个，拆除废弃晒地</w:t>
      </w:r>
      <w:r>
        <w:rPr>
          <w:rFonts w:ascii="仿宋_GB2312" w:eastAsia="仿宋_GB2312" w:hAnsi="宋体" w:hint="eastAsia"/>
          <w:sz w:val="32"/>
          <w:szCs w:val="32"/>
        </w:rPr>
        <w:t>258</w:t>
      </w:r>
      <w:r>
        <w:rPr>
          <w:rFonts w:ascii="仿宋_GB2312" w:eastAsia="仿宋_GB2312" w:hAnsi="宋体" w:hint="eastAsia"/>
          <w:sz w:val="32"/>
          <w:szCs w:val="32"/>
        </w:rPr>
        <w:t>平方米。利用房前屋后和各种边角地“三废变三微”，建成“微菜园”</w:t>
      </w:r>
      <w:r>
        <w:rPr>
          <w:rFonts w:ascii="仿宋_GB2312" w:eastAsia="仿宋_GB2312" w:hAnsi="宋体" w:hint="eastAsia"/>
          <w:sz w:val="32"/>
          <w:szCs w:val="32"/>
        </w:rPr>
        <w:t>2</w:t>
      </w:r>
      <w:r>
        <w:rPr>
          <w:rFonts w:ascii="仿宋_GB2312" w:eastAsia="仿宋_GB2312" w:hAnsi="宋体" w:hint="eastAsia"/>
          <w:sz w:val="32"/>
          <w:szCs w:val="32"/>
        </w:rPr>
        <w:t>0</w:t>
      </w:r>
      <w:r>
        <w:rPr>
          <w:rFonts w:ascii="仿宋_GB2312" w:eastAsia="仿宋_GB2312" w:hAnsi="宋体" w:hint="eastAsia"/>
          <w:sz w:val="32"/>
          <w:szCs w:val="32"/>
        </w:rPr>
        <w:t>个、“微花园”</w:t>
      </w:r>
      <w:r>
        <w:rPr>
          <w:rFonts w:ascii="仿宋_GB2312" w:eastAsia="仿宋_GB2312" w:hAnsi="宋体" w:hint="eastAsia"/>
          <w:sz w:val="32"/>
          <w:szCs w:val="32"/>
        </w:rPr>
        <w:t>9</w:t>
      </w:r>
      <w:r>
        <w:rPr>
          <w:rFonts w:ascii="仿宋_GB2312" w:eastAsia="仿宋_GB2312" w:hAnsi="宋体" w:hint="eastAsia"/>
          <w:sz w:val="32"/>
          <w:szCs w:val="32"/>
        </w:rPr>
        <w:t>个、“微果园”</w:t>
      </w:r>
      <w:r>
        <w:rPr>
          <w:rFonts w:ascii="仿宋_GB2312" w:eastAsia="仿宋_GB2312" w:hAnsi="宋体" w:hint="eastAsia"/>
          <w:sz w:val="32"/>
          <w:szCs w:val="32"/>
        </w:rPr>
        <w:t>11</w:t>
      </w:r>
      <w:r>
        <w:rPr>
          <w:rFonts w:ascii="仿宋_GB2312" w:eastAsia="仿宋_GB2312" w:hAnsi="宋体" w:hint="eastAsia"/>
          <w:sz w:val="32"/>
          <w:szCs w:val="32"/>
        </w:rPr>
        <w:t>个，打造了景在村中、村在景中的生态宜居幸福乡村美景。</w:t>
      </w:r>
    </w:p>
    <w:p w:rsidR="005A2AC3" w:rsidRDefault="00697FC7">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发展特色产业，增辟致富门路</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“绿水青山就是金山银山”，马鞍寨依托拆旧复垦</w:t>
      </w:r>
      <w:r>
        <w:rPr>
          <w:rFonts w:ascii="仿宋_GB2312" w:eastAsia="仿宋_GB2312" w:hAnsi="宋体" w:hint="eastAsia"/>
          <w:sz w:val="32"/>
          <w:szCs w:val="32"/>
        </w:rPr>
        <w:t>,</w:t>
      </w:r>
      <w:r>
        <w:rPr>
          <w:rFonts w:ascii="仿宋_GB2312" w:eastAsia="仿宋_GB2312" w:hAnsi="宋体" w:hint="eastAsia"/>
          <w:sz w:val="32"/>
          <w:szCs w:val="32"/>
        </w:rPr>
        <w:t>增加旅游服务设施建设用地，打造村口景观、水体景观、绿化景观、庭院景观，</w:t>
      </w:r>
      <w:r>
        <w:rPr>
          <w:rFonts w:ascii="仿宋_GB2312" w:eastAsia="仿宋_GB2312" w:hAnsi="宋体" w:hint="eastAsia"/>
          <w:sz w:val="32"/>
          <w:szCs w:val="32"/>
        </w:rPr>
        <w:lastRenderedPageBreak/>
        <w:t>大力发展农家乐、教育基地、生态水果采摘基地等乡村休闲旅游产业，引入经营管理理念，坚持以农促旅，农旅结合，带动村民通过旅游业的发展增辟致富门路。积极引导群众种植芋头、红薯等生态农产品，同时不断加大对农民合作社、产品加工厂等新型经营主体的培育扶持力度，对红薯、芋头等农产品进行初加工</w:t>
      </w:r>
      <w:r>
        <w:rPr>
          <w:rFonts w:ascii="仿宋_GB2312" w:eastAsia="仿宋_GB2312" w:hAnsi="宋体" w:hint="eastAsia"/>
          <w:sz w:val="32"/>
          <w:szCs w:val="32"/>
        </w:rPr>
        <w:t>，然后用冷链物流进行运输，主要供应粤港澳大湾区、台湾、新西兰等地市场，既解决了贫困户就业问题，又增加了村集体经济收入，促进生态富民增收。</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如今的马鞍寨，高山青、溪水清、花草绿、村道宽、房屋新，独树一帜的乡村美景引人注目，村民齐心建家园豪情满怀。马鞍寨先后被评为“广西乡级现代特色农业示范区”、“广西休闲农业与乡村旅游示范点”、“广西三星级乡村旅游区”和“广西壮族自治区社会主义核心价值观建设示范点”。</w:t>
      </w:r>
    </w:p>
    <w:p w:rsidR="005A2AC3" w:rsidRDefault="00697FC7">
      <w:pPr>
        <w:ind w:firstLine="648"/>
        <w:rPr>
          <w:rFonts w:ascii="仿宋_GB2312" w:eastAsia="仿宋_GB2312" w:hAnsi="宋体"/>
          <w:sz w:val="32"/>
          <w:szCs w:val="32"/>
        </w:rPr>
      </w:pPr>
      <w:r>
        <w:rPr>
          <w:rFonts w:ascii="仿宋_GB2312" w:eastAsia="仿宋_GB2312" w:hAnsi="宋体" w:hint="eastAsia"/>
          <w:sz w:val="32"/>
          <w:szCs w:val="32"/>
        </w:rPr>
        <w:t>（该文为</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贺州市</w:t>
      </w:r>
      <w:r>
        <w:rPr>
          <w:rFonts w:ascii="仿宋_GB2312" w:eastAsia="仿宋_GB2312" w:hAnsi="仿宋_GB2312" w:cs="仿宋_GB2312" w:hint="eastAsia"/>
          <w:sz w:val="32"/>
          <w:szCs w:val="32"/>
        </w:rPr>
        <w:t>乡村振兴暨土地整理、乡村风貌改造提升工作会议</w:t>
      </w:r>
      <w:r>
        <w:rPr>
          <w:rFonts w:ascii="仿宋_GB2312" w:eastAsia="仿宋_GB2312" w:hAnsi="仿宋_GB2312" w:cs="仿宋_GB2312" w:hint="eastAsia"/>
          <w:sz w:val="32"/>
          <w:szCs w:val="32"/>
        </w:rPr>
        <w:t>上所播视频文字稿）</w:t>
      </w:r>
    </w:p>
    <w:p w:rsidR="005A2AC3" w:rsidRDefault="005A2AC3"/>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5A2AC3">
      <w:pPr>
        <w:rPr>
          <w:rFonts w:ascii="方正仿宋_GBK" w:eastAsia="方正仿宋_GBK" w:hAnsi="方正仿宋_GBK" w:cs="方正仿宋_GBK"/>
          <w:sz w:val="32"/>
          <w:szCs w:val="32"/>
        </w:rPr>
      </w:pPr>
    </w:p>
    <w:p w:rsidR="005A2AC3" w:rsidRDefault="00697FC7">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361315</wp:posOffset>
                </wp:positionV>
                <wp:extent cx="5810250" cy="0"/>
                <wp:effectExtent l="0" t="0" r="0" b="0"/>
                <wp:wrapNone/>
                <wp:docPr id="5" name="直接连接符 5"/>
                <wp:cNvGraphicFramePr/>
                <a:graphic xmlns:a="http://schemas.openxmlformats.org/drawingml/2006/main">
                  <a:graphicData uri="http://schemas.microsoft.com/office/word/2010/wordprocessingShape">
                    <wps:wsp>
                      <wps:cNvCnPr/>
                      <wps:spPr>
                        <a:xfrm>
                          <a:off x="832485" y="8195310"/>
                          <a:ext cx="5810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B48DC" id="直接连接符 5"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2pt,28.45pt" to="460.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9AEAABUEAAAOAAAAZHJzL2Uyb0RvYy54bWysU0uOEzEQ3SNxB8t70p8hkGmlM4sZDRsE&#10;ETAH8LjLiSX/ZJt0cgkugMQOVizZcxuGY1B2dzojQEggNm6X69Vzvefq5cVeK7IDH6Q1La1mJSVg&#10;uO2k2bT05s31owUlITLTMWUNtPQAgV6sHj5Y9q6B2m6t6sATJDGh6V1LtzG6pigC34JmYWYdGEwK&#10;6zWLGPpN0XnWI7tWRV2WT4re+s55yyEEPL0aknSV+YUAHl8KESAS1VLsLebV5/U2rcVqyZqNZ24r&#10;+dgG+4cuNJMGL52orlhk5K2Xv1Bpyb0NVsQZt7qwQkgOWQOqqcqf1LzeMgdZC5oT3GRT+H+0/MVu&#10;7YnsWjqnxDCNT3T3/su3dx+/f/2A693nT2SeTOpdaBB7adZ+jIJb+6R4L7xOX9RC9i1dnNWPF8h1&#10;wG11Pj+rRo9hHwnH/HxRlfUcn4IjIueKE4fzIT4Dq0natFRJk+Szhu2eh4j3IvQIScfKkB6Hrn5a&#10;lhkWrJLdtVQqJfMIwaXyZMfw8eO+SjqQ4R4KI2XwMKkb9ORdPCgY+F+BQHOw7Wq4II3liZNxDiYe&#10;eZVBdCoT2MFUOHb2p8IRn0ohj+zfFE8V+WZr4lSspbH+d22frBAD/ujAoDtZcGu7Q37pbA3OXnZu&#10;/E/ScN+Pc/npb179AAAA//8DAFBLAwQUAAYACAAAACEA8q/fcdsAAAAHAQAADwAAAGRycy9kb3du&#10;cmV2LnhtbEyOzU7DMBCE70i8g7VI3KiTioQ2xKkACakopxYOcHPjbRIRr63YbcLbs4gDHOdHM1+5&#10;me0gzjiG3pGCdJGAQGqc6alV8Pb6fLMCEaImowdHqOALA2yqy4tSF8ZNtMPzPraCRygUWkEXoy+k&#10;DE2HVoeF80icHd1odWQ5ttKMeuJxO8hlkuTS6p74odMenzpsPvcnq6CuH6c0xm24e5my99r7j+N2&#10;lSl1fTU/3IOIOMe/MvzgMzpUzHRwJzJBDAryWy4qyPI1CI7Xy5SNw68hq1L+56++AQAA//8DAFBL&#10;AQItABQABgAIAAAAIQC2gziS/gAAAOEBAAATAAAAAAAAAAAAAAAAAAAAAABbQ29udGVudF9UeXBl&#10;c10ueG1sUEsBAi0AFAAGAAgAAAAhADj9If/WAAAAlAEAAAsAAAAAAAAAAAAAAAAALwEAAF9yZWxz&#10;Ly5yZWxzUEsBAi0AFAAGAAgAAAAhABKiZP70AQAAFQQAAA4AAAAAAAAAAAAAAAAALgIAAGRycy9l&#10;Mm9Eb2MueG1sUEsBAi0AFAAGAAgAAAAhAPKv33HbAAAABwEAAA8AAAAAAAAAAAAAAAAATgQAAGRy&#10;cy9kb3ducmV2LnhtbFBLBQYAAAAABAAEAPMAAABWBQAAAAA=&#10;" strokecolor="black [3213]" strokeweight="1pt">
                <v:stroke joinstyle="miter"/>
              </v:line>
            </w:pict>
          </mc:Fallback>
        </mc:AlternateContent>
      </w:r>
      <w:r>
        <w:rPr>
          <w:rFonts w:ascii="方正仿宋_GBK" w:eastAsia="方正仿宋_GBK" w:hAnsi="方正仿宋_GBK" w:cs="方正仿宋_GBK" w:hint="eastAsia"/>
          <w:sz w:val="32"/>
          <w:szCs w:val="32"/>
        </w:rPr>
        <w:t>报：自治区住建厅、市政府杨育智副市长。</w:t>
      </w:r>
    </w:p>
    <w:p w:rsidR="005A2AC3" w:rsidRDefault="00697FC7">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384175</wp:posOffset>
                </wp:positionV>
                <wp:extent cx="5867400" cy="28575"/>
                <wp:effectExtent l="0" t="6350" r="0" b="22225"/>
                <wp:wrapNone/>
                <wp:docPr id="10" name="直接连接符 10"/>
                <wp:cNvGraphicFramePr/>
                <a:graphic xmlns:a="http://schemas.openxmlformats.org/drawingml/2006/main">
                  <a:graphicData uri="http://schemas.microsoft.com/office/word/2010/wordprocessingShape">
                    <wps:wsp>
                      <wps:cNvCnPr/>
                      <wps:spPr>
                        <a:xfrm flipV="1">
                          <a:off x="0" y="0"/>
                          <a:ext cx="586740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BEC89" id="直接连接符 10"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7pt,30.25pt" to="46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Gl9QEAABoEAAAOAAAAZHJzL2Uyb0RvYy54bWysU72OEzEQ7pF4B8s92U1ELtEqmyvudDQI&#10;Iv56n3ecteQ/2SabvAQvgEQHFSU9b8PxGIy9m82Fqw7RWB7PzDfzfTNeXe61IjvwQVpT0+mkpAQM&#10;t40025q+f3fzbElJiMw0TFkDNT1AoJfrp09WnatgZlurGvAEQUyoOlfTNkZXFUXgLWgWJtaBQaew&#10;XrOIpt8WjWcdomtVzMryouisb5y3HELA1+veSdcZXwjg8bUQASJRNcXeYj59Pm/TWaxXrNp65lrJ&#10;hzbYP3ShmTRYdIS6ZpGRj14+gNKSexusiBNudWGFkBwyB2QzLf9i87ZlDjIXFCe4Uabw/2D5q93G&#10;E9ng7FAewzTO6O7zj1+fvv7++QXPu+/fCHpQps6FCqOvzMYPVnAbnzjvhddEKOk+IEpWAXmRfRb5&#10;MIoM+0g4Ps6XF4vnJRbj6Jst54t5Qi96mATnfIgvwGqSLjVV0iQNWMV2L0PsQ48h6VkZ0mHd2QIx&#10;kx2sks2NVCobaY/gSnmyY7gBcT8dit2LwtLKYAeJYE8p3+JBQY//BgQqhK335PJunjAZ52DiEVcZ&#10;jE5pAjsYE4fOzps5TxziUyrkvX1M8piRK1sTx2QtjfW9LufVT1KIPv6oQM87SXBrm0MedpYGFzCP&#10;afgsacPv2zn99KXXfwAAAP//AwBQSwMEFAAGAAgAAAAhALUt3vPbAAAABwEAAA8AAABkcnMvZG93&#10;bnJldi54bWxMjs1OwzAQhO9IvIO1SNyo3UIChDhVAeWGVFE4wM2Nt0lEvI5spw1vz3KC4/xo5ivX&#10;sxvEEUPsPWlYLhQIpMbbnloN72/11R2ImAxZM3hCDd8YYV2dn5WmsP5Er3jcpVbwCMXCaOhSGgsp&#10;Y9OhM3HhRyTODj44k1iGVtpgTjzuBrlSKpfO9MQPnRnxqcPmazc5DduX7XLz6cf88JFlU/YYavkc&#10;a60vL+bNA4iEc/orwy8+o0PFTHs/kY1i0HB9w0UNucpAcHy/umVjz0amQFal/M9f/QAAAP//AwBQ&#10;SwECLQAUAAYACAAAACEAtoM4kv4AAADhAQAAEwAAAAAAAAAAAAAAAAAAAAAAW0NvbnRlbnRfVHlw&#10;ZXNdLnhtbFBLAQItABQABgAIAAAAIQA4/SH/1gAAAJQBAAALAAAAAAAAAAAAAAAAAC8BAABfcmVs&#10;cy8ucmVsc1BLAQItABQABgAIAAAAIQA7ZCGl9QEAABoEAAAOAAAAAAAAAAAAAAAAAC4CAABkcnMv&#10;ZTJvRG9jLnhtbFBLAQItABQABgAIAAAAIQC1Ld7z2wAAAAcBAAAPAAAAAAAAAAAAAAAAAE8EAABk&#10;cnMvZG93bnJldi54bWxQSwUGAAAAAAQABADzAAAAVwUAAAAA&#10;" strokecolor="black [3213]" strokeweight="1pt">
                <v:stroke joinstyle="miter"/>
              </v:line>
            </w:pict>
          </mc:Fallback>
        </mc:AlternateContent>
      </w:r>
      <w:r>
        <w:rPr>
          <w:rFonts w:ascii="方正仿宋_GBK" w:eastAsia="方正仿宋_GBK" w:hAnsi="方正仿宋_GBK" w:cs="方正仿宋_GBK" w:hint="eastAsia"/>
          <w:sz w:val="32"/>
          <w:szCs w:val="32"/>
        </w:rPr>
        <w:t>送：各县（区）人民政府、住建局。</w:t>
      </w:r>
    </w:p>
    <w:p w:rsidR="005A2AC3" w:rsidRDefault="00697FC7">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贺州市住房和城乡建设局</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sz w:val="32"/>
          <w:szCs w:val="32"/>
        </w:rPr>
        <w:t>0774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5137839</w:t>
      </w:r>
    </w:p>
    <w:p w:rsidR="005A2AC3" w:rsidRDefault="00697FC7">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市乡村风貌提升信息群：</w:t>
      </w:r>
      <w:r>
        <w:rPr>
          <w:rFonts w:ascii="方正仿宋_GBK" w:eastAsia="方正仿宋_GBK" w:hAnsi="方正仿宋_GBK" w:cs="方正仿宋_GBK" w:hint="eastAsia"/>
          <w:sz w:val="32"/>
          <w:szCs w:val="32"/>
        </w:rPr>
        <w:t xml:space="preserve">1007434267    </w:t>
      </w:r>
      <w:r>
        <w:rPr>
          <w:rFonts w:ascii="方正仿宋_GBK" w:eastAsia="方正仿宋_GBK" w:hAnsi="方正仿宋_GBK" w:cs="方正仿宋_GBK" w:hint="eastAsia"/>
          <w:sz w:val="32"/>
          <w:szCs w:val="32"/>
        </w:rPr>
        <w:t>邮箱：</w:t>
      </w:r>
      <w:r>
        <w:rPr>
          <w:rFonts w:ascii="方正仿宋_GBK" w:eastAsia="方正仿宋_GBK" w:hAnsi="方正仿宋_GBK" w:cs="方正仿宋_GBK" w:hint="eastAsia"/>
          <w:sz w:val="32"/>
          <w:szCs w:val="32"/>
        </w:rPr>
        <w:t>54888072@qq.com</w:t>
      </w:r>
    </w:p>
    <w:p w:rsidR="005A2AC3" w:rsidRDefault="005A2AC3"/>
    <w:sectPr w:rsidR="005A2AC3">
      <w:footerReference w:type="default" r:id="rId10"/>
      <w:pgSz w:w="11906" w:h="16838"/>
      <w:pgMar w:top="1417" w:right="1247" w:bottom="1417" w:left="124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C7" w:rsidRDefault="00697FC7">
      <w:r>
        <w:separator/>
      </w:r>
    </w:p>
  </w:endnote>
  <w:endnote w:type="continuationSeparator" w:id="0">
    <w:p w:rsidR="00697FC7" w:rsidRDefault="0069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C3" w:rsidRDefault="00697FC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2AC3" w:rsidRDefault="00697FC7">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FC07F1">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A2AC3" w:rsidRDefault="00697FC7">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FC07F1">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C7" w:rsidRDefault="00697FC7">
      <w:r>
        <w:separator/>
      </w:r>
    </w:p>
  </w:footnote>
  <w:footnote w:type="continuationSeparator" w:id="0">
    <w:p w:rsidR="00697FC7" w:rsidRDefault="00697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1" w:cryptProviderType="rsaAES" w:cryptAlgorithmClass="hash" w:cryptAlgorithmType="typeAny" w:cryptAlgorithmSid="14" w:cryptSpinCount="100000" w:hash="2J4IzkUUZZaLbeC9BuDEGeQ7PR7NXwMFBXW0TpSpc7jyXPmcTmZ59QZd/lG62Q/RattBBAC2EduP0PmCm0Ydbw==" w:salt="0dfUYNOyfyQr19DymWHlxA=="/>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2C80"/>
    <w:rsid w:val="005A2AC3"/>
    <w:rsid w:val="00697FC7"/>
    <w:rsid w:val="00FC07F1"/>
    <w:rsid w:val="018F3B40"/>
    <w:rsid w:val="036A1A87"/>
    <w:rsid w:val="0A314254"/>
    <w:rsid w:val="0BF57719"/>
    <w:rsid w:val="0DB45A23"/>
    <w:rsid w:val="118D6E25"/>
    <w:rsid w:val="14BC2F6B"/>
    <w:rsid w:val="178F1A74"/>
    <w:rsid w:val="17F37473"/>
    <w:rsid w:val="191727D5"/>
    <w:rsid w:val="1C76686B"/>
    <w:rsid w:val="1D8943D2"/>
    <w:rsid w:val="20CB2135"/>
    <w:rsid w:val="21125ECF"/>
    <w:rsid w:val="22D12B89"/>
    <w:rsid w:val="2583660F"/>
    <w:rsid w:val="262F6919"/>
    <w:rsid w:val="28BC0C21"/>
    <w:rsid w:val="29BD0C31"/>
    <w:rsid w:val="2F191087"/>
    <w:rsid w:val="31F842B6"/>
    <w:rsid w:val="34A30768"/>
    <w:rsid w:val="35D979DD"/>
    <w:rsid w:val="389C4811"/>
    <w:rsid w:val="3C142C66"/>
    <w:rsid w:val="3DD20E93"/>
    <w:rsid w:val="3FAE0D20"/>
    <w:rsid w:val="401149B5"/>
    <w:rsid w:val="41F07241"/>
    <w:rsid w:val="44AE7AB8"/>
    <w:rsid w:val="458229B1"/>
    <w:rsid w:val="45D557CB"/>
    <w:rsid w:val="463A5925"/>
    <w:rsid w:val="46427599"/>
    <w:rsid w:val="469C2653"/>
    <w:rsid w:val="4D36642A"/>
    <w:rsid w:val="513102A5"/>
    <w:rsid w:val="51820BC5"/>
    <w:rsid w:val="521C35B0"/>
    <w:rsid w:val="543D29B4"/>
    <w:rsid w:val="55A75C99"/>
    <w:rsid w:val="56322D47"/>
    <w:rsid w:val="56627BF1"/>
    <w:rsid w:val="566867E9"/>
    <w:rsid w:val="5B9C1B30"/>
    <w:rsid w:val="5DC445A8"/>
    <w:rsid w:val="5E9071B2"/>
    <w:rsid w:val="61046186"/>
    <w:rsid w:val="63D44E91"/>
    <w:rsid w:val="67282D71"/>
    <w:rsid w:val="6EA82912"/>
    <w:rsid w:val="70227D87"/>
    <w:rsid w:val="72F32C80"/>
    <w:rsid w:val="762E5417"/>
    <w:rsid w:val="7658088F"/>
    <w:rsid w:val="7887721F"/>
    <w:rsid w:val="7B087959"/>
    <w:rsid w:val="7C072E7A"/>
    <w:rsid w:val="7CE83F22"/>
    <w:rsid w:val="7D5D5B3A"/>
    <w:rsid w:val="7F06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1FD4C6D-C93F-4347-9E2E-0AB48E07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578</Words>
  <Characters>3297</Characters>
  <Application>Microsoft Office Word</Application>
  <DocSecurity>8</DocSecurity>
  <Lines>27</Lines>
  <Paragraphs>7</Paragraphs>
  <ScaleCrop>false</ScaleCrop>
  <Company>Microsoft</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王琳</dc:creator>
  <cp:lastModifiedBy>谢祥</cp:lastModifiedBy>
  <cp:revision>2</cp:revision>
  <dcterms:created xsi:type="dcterms:W3CDTF">2019-04-18T02:12:00Z</dcterms:created>
  <dcterms:modified xsi:type="dcterms:W3CDTF">2019-06-20T08:36:00Z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