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81" w:rsidRDefault="00F21410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706781" w:rsidRDefault="00706781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cs="仿宋_GB2312"/>
          <w:sz w:val="44"/>
          <w:szCs w:val="44"/>
        </w:rPr>
      </w:pPr>
    </w:p>
    <w:p w:rsidR="00706781" w:rsidRDefault="00F2141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kern w:val="2"/>
          <w:sz w:val="44"/>
          <w:szCs w:val="44"/>
          <w:shd w:val="clear" w:color="auto" w:fill="FFFFFF"/>
        </w:rPr>
      </w:pPr>
      <w:r>
        <w:rPr>
          <w:rFonts w:ascii="方正小标宋_GBK" w:eastAsia="方正小标宋_GBK" w:hAnsiTheme="minorEastAsia" w:hint="eastAsia"/>
          <w:kern w:val="2"/>
          <w:sz w:val="44"/>
          <w:szCs w:val="44"/>
          <w:shd w:val="clear" w:color="auto" w:fill="FFFFFF"/>
        </w:rPr>
        <w:t>施工单位未对进入施工现场的墙体材料、保温材料、门窗、采暖制冷系统和照明设备进行查验等的处罚</w:t>
      </w:r>
    </w:p>
    <w:p w:rsidR="00706781" w:rsidRDefault="00706781">
      <w:pPr>
        <w:pStyle w:val="p0"/>
        <w:widowControl w:val="0"/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  <w:color w:val="000000"/>
          <w:spacing w:val="-10"/>
          <w:sz w:val="44"/>
          <w:szCs w:val="44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10"/>
        <w:gridCol w:w="1417"/>
        <w:gridCol w:w="5712"/>
      </w:tblGrid>
      <w:tr w:rsidR="00706781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706781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706781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706781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706781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706781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施工单位未对进入施工现场的墙体材料、保温材料、门窗、采暖制冷系统和照明设备进行查验等的处罚</w:t>
            </w:r>
          </w:p>
        </w:tc>
      </w:tr>
      <w:tr w:rsidR="00706781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706781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70678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70678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706781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706781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贺州市建筑节能办公室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706781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706781" w:rsidRDefault="0070678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706781">
        <w:trPr>
          <w:trHeight w:val="47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【行政法规】《民用建筑节能条例》（国务院令第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号）第四十一条　违反本条例规定，施工单位有下列行为之一的，由县级以上地方人民政府建设主管部门责令改正，处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万元以下的罚款；情节严重的，由颁发资质证书的部门责令停业整顿，降低资质等级或者吊销资质证书；造成损失的，依法承担赔偿责任：</w:t>
            </w:r>
          </w:p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（一）未对进入施工现场的墙体材料、保温材料、门窗、采暖制冷系统和照明设备进行查验的；</w:t>
            </w:r>
          </w:p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（二）使用不符合施工图设计文件要求的墙体材料、保温材料、门窗、采暖制冷系统和照明设备的；</w:t>
            </w:r>
          </w:p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（三）使用列入禁止使用目录的技术、工艺、材料和设备的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未对进入施工现场的墙体材料、保温材料、门窗、采暖制冷系统和照明设备进行查验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施工单位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级分级管理。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《民用建筑节能条例》第四十一条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违反本条例规定，施工单位有下列行为之一的，由县级以上地方人民政府建设主管部门责令改正，处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万元以下的罚款；情节严重的，由颁发资质证书的部门责令停业整顿，降低资质等级或者吊销资质证书；造成损失的，依法承担赔偿责任：</w:t>
            </w:r>
          </w:p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（一）未对进入施工现场的墙体材料、保温材料、门窗、采暖制冷系统和照明设备进行查验的；</w:t>
            </w:r>
          </w:p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（二）使用不符合施工图设计文件要求的墙体材料、保温材料、门窗、采暖制冷系统和照明设备的；</w:t>
            </w:r>
          </w:p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（三）使用列入禁止使用目录的技术、工艺、材料和设备的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未对进入施工现场的墙体材料、保温材料、门窗、采暖制冷系统和照明设备进行查验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施工单位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进行处罚。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706781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F2141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21410" w:rsidRDefault="00F21410" w:rsidP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21410" w:rsidRDefault="00F21410" w:rsidP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F21410" w:rsidRDefault="00F21410" w:rsidP="00F21410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4.告知责任：作出行政处罚决定前，制作《行政处罚告知书》送达当事人，告知违法事实、处罚依据和拟处罚意见，以及当事人享有的陈述、申辩等权利。符合听证规定的，制作并送达《行政处罚听证告知书》。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5.决定责任：作出处罚决定，制作行政处罚决定书，载明行政处罚告知、当事人陈述申辩或者听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1"/>
                <w:szCs w:val="21"/>
              </w:rPr>
              <w:t>证情况等内容。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 xml:space="preserve">    6.送达责任：按有关规定将行政处罚决定书送达当事人。  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F21410" w:rsidRDefault="00F21410" w:rsidP="00F21410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F21410" w:rsidRDefault="00F21410" w:rsidP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F2141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21410" w:rsidRDefault="00F21410" w:rsidP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21410" w:rsidRDefault="00F21410" w:rsidP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F21410" w:rsidRDefault="00F21410" w:rsidP="00F21410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F21410" w:rsidRDefault="00F21410" w:rsidP="00F21410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F21410" w:rsidRDefault="00F21410" w:rsidP="00F21410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F21410" w:rsidRDefault="00F21410" w:rsidP="00F21410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 利用职务便利索取或者收受当事人财物徇私舞弊袒护当事人的；</w:t>
            </w:r>
          </w:p>
          <w:p w:rsidR="00F21410" w:rsidRDefault="00F21410" w:rsidP="00F21410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F21410" w:rsidRDefault="00F21410" w:rsidP="00F2141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tr w:rsidR="00706781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706781" w:rsidRDefault="0070678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06781" w:rsidRDefault="00706781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706781" w:rsidRDefault="00F21410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706781" w:rsidRDefault="00706781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3551"/>
        <w:gridCol w:w="521"/>
        <w:gridCol w:w="3872"/>
        <w:gridCol w:w="1064"/>
      </w:tblGrid>
      <w:tr w:rsidR="00706781">
        <w:trPr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706781">
        <w:trPr>
          <w:trHeight w:val="34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706781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06781" w:rsidRDefault="0070678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706781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06781" w:rsidRDefault="0070678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严格按照法定成程序，作出公正的处罚决定。对案卷进行抽查评查，加强对处罚实施过程的监督，加强政务公开。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706781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06781" w:rsidRDefault="0070678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06781" w:rsidRDefault="00F214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706781" w:rsidRDefault="00F21410">
      <w:pPr>
        <w:spacing w:line="590" w:lineRule="exact"/>
        <w:ind w:leftChars="-200" w:left="-584" w:rightChars="-231" w:right="-693" w:hangingChars="5" w:hanging="1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kern w:val="1"/>
          <w:sz w:val="32"/>
          <w:szCs w:val="32"/>
        </w:rPr>
        <w:t>施工单位未对进入施工现场的墙体材料、保温材料、门窗、采暖制冷系统和照明设备进行查验等的处罚</w:t>
      </w:r>
      <w:r>
        <w:rPr>
          <w:rFonts w:ascii="仿宋" w:eastAsia="仿宋" w:hAnsi="仿宋" w:cs="仿宋" w:hint="eastAsia"/>
          <w:kern w:val="1"/>
          <w:sz w:val="32"/>
          <w:szCs w:val="32"/>
        </w:rPr>
        <w:t>流程图</w:t>
      </w:r>
    </w:p>
    <w:p w:rsidR="00706781" w:rsidRDefault="00F21410">
      <w:pPr>
        <w:spacing w:line="590" w:lineRule="exact"/>
        <w:rPr>
          <w:rFonts w:ascii="黑体" w:eastAsia="黑体" w:hAnsiTheme="minorEastAsia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706781" w:rsidRDefault="00706781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kern w:val="1"/>
          <w:sz w:val="44"/>
          <w:szCs w:val="44"/>
        </w:rPr>
      </w:pPr>
    </w:p>
    <w:p w:rsidR="00706781" w:rsidRDefault="00F21410">
      <w:pPr>
        <w:adjustRightInd w:val="0"/>
        <w:snapToGrid w:val="0"/>
        <w:spacing w:line="540" w:lineRule="exact"/>
        <w:jc w:val="center"/>
        <w:rPr>
          <w:rFonts w:ascii="方正小标宋_GBK" w:eastAsia="方正小标宋_GBK" w:hAnsiTheme="minorEastAsia"/>
          <w:kern w:val="1"/>
          <w:sz w:val="44"/>
          <w:szCs w:val="44"/>
        </w:rPr>
      </w:pP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施工单位未对进入施工现场的墙体材料、保温材料、门窗、采暖制冷系统和照明设备进行查验等的处罚</w:t>
      </w: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流程图</w:t>
      </w:r>
    </w:p>
    <w:p w:rsidR="00706781" w:rsidRDefault="00706781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sz w:val="44"/>
          <w:szCs w:val="44"/>
          <w:shd w:val="clear" w:color="auto" w:fill="FFFFFF"/>
        </w:rPr>
      </w:pPr>
    </w:p>
    <w:p w:rsidR="00706781" w:rsidRDefault="00706781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706781" w:rsidRDefault="00F21410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line id="直线 20" o:spid="_x0000_s1046" style="position:absolute;left:0;text-align:left;flip:x;z-index:251680768;mso-width-relative:page;mso-height-relative:page" from="125.4pt,257.45pt" to="126.05pt,288.45pt" strokeweight="1pt"/>
        </w:pict>
      </w:r>
      <w:r>
        <w:rPr>
          <w:rFonts w:asciiTheme="minorEastAsia" w:eastAsiaTheme="minorEastAsia" w:hAnsiTheme="minorEastAsia"/>
        </w:rPr>
        <w:pict>
          <v:line id="_x0000_s1045" style="position:absolute;left:0;text-align:left;z-index:251679744;mso-width-relative:page;mso-height-relative:page" from="174.8pt,242.05pt" to="236.6pt,242.0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5" o:spid="_x0000_s1044" style="position:absolute;left:0;text-align:left;z-index:251678720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7" o:spid="_x0000_s1043" style="position:absolute;left:0;text-align:left;z-index:251677696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9" o:spid="_x0000_s1042" style="position:absolute;left:0;text-align:left;z-index:251676672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0" o:spid="_x0000_s1041" style="position:absolute;left:0;text-align:left;z-index:251675648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1" o:spid="_x0000_s1040" style="position:absolute;left:0;text-align:left;z-index:251674624;mso-width-relative:page;mso-height-relative:page" from="269.55pt,81.1pt" to="319.3pt,81.15pt" filled="t" strokeweight="1pt"/>
        </w:pict>
      </w:r>
      <w:r>
        <w:rPr>
          <w:rFonts w:asciiTheme="minorEastAsia" w:eastAsiaTheme="minorEastAsia" w:hAnsiTheme="minorEastAsia"/>
        </w:rPr>
        <w:pict>
          <v:line id="直线 12" o:spid="_x0000_s1039" style="position:absolute;left:0;text-align:left;flip:x;z-index:251673600;mso-width-relative:page;mso-height-relative:page" from="120.25pt,80.45pt" to="161.8pt,80.5pt" filled="t" strokeweight="1pt"/>
        </w:pict>
      </w:r>
      <w:r>
        <w:rPr>
          <w:rFonts w:asciiTheme="minorEastAsia" w:eastAsiaTheme="minorEastAsia" w:hAnsiTheme="minorEastAsia"/>
        </w:rPr>
        <w:pict>
          <v:line id="直线 6" o:spid="_x0000_s1038" style="position:absolute;left:0;text-align:left;z-index:251672576;mso-width-relative:page;mso-height-relative:page" from="133.2pt,48.4pt" to="305.7pt,48.45pt" filled="t" strokeweight="1pt"/>
        </w:pict>
      </w:r>
      <w:r>
        <w:rPr>
          <w:rFonts w:asciiTheme="minorEastAsia" w:eastAsiaTheme="minorEastAsia" w:hAnsiTheme="minorEastAsia"/>
        </w:rPr>
        <w:pict>
          <v:line id="直线 7" o:spid="_x0000_s1037" style="position:absolute;left:0;text-align:left;z-index:251671552;mso-width-relative:page;mso-height-relative:page" from="305pt,36.1pt" to="305.05pt,47.7pt" filled="t" strokeweight="1pt"/>
        </w:pict>
      </w:r>
      <w:r>
        <w:rPr>
          <w:rFonts w:asciiTheme="minorEastAsia" w:eastAsiaTheme="minorEastAsia" w:hAnsiTheme="minorEastAsia"/>
        </w:rPr>
        <w:pict>
          <v:line id="直线 5" o:spid="_x0000_s1036" style="position:absolute;left:0;text-align:left;z-index:251670528;mso-width-relative:page;mso-height-relative:page" from="133.2pt,32.15pt" to="133.25pt,48.55pt" filled="t" strokeweight="1pt"/>
        </w:pict>
      </w: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35" type="#_x0000_t202" style="position:absolute;left:0;text-align:left;margin-left:286.25pt;margin-top:393.65pt;width:110.5pt;height:28.7pt;z-index:25166950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8" o:spid="_x0000_s1034" type="#_x0000_t202" style="position:absolute;left:0;text-align:left;margin-left:237.15pt;margin-top:209.8pt;width:239.6pt;height:70.5pt;z-index:25166848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作出行政处罚决定之前，应当告知当事人作出行政处罚决定的事实、理由及依据，并告知当事人依法享有的权利。责令停产停业、吊销许可证或者执照等情形，告知听证权利，依申请组织听证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5" o:spid="_x0000_s1033" type="#_x0000_t202" style="position:absolute;left:0;text-align:left;margin-left:126.4pt;margin-top:306.75pt;width:215.45pt;height:40pt;z-index:25166745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对案件事实和适用法律问题，进行认定依法作出行政处罚决定，制作行政处罚决定书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9" o:spid="_x0000_s1032" type="#_x0000_t202" style="position:absolute;left:0;text-align:left;margin-left:81.15pt;margin-top:227.6pt;width:92.8pt;height:29.4pt;z-index:25166643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6" o:spid="_x0000_s1031" type="#_x0000_t202" style="position:absolute;left:0;text-align:left;margin-left:246.5pt;margin-top:167.25pt;width:158.15pt;height:37.5pt;z-index:25166540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4" o:spid="_x0000_s1030" type="#_x0000_t202" style="position:absolute;left:0;text-align:left;margin-left:262.85pt;margin-top:116pt;width:107.75pt;height:29.4pt;z-index:25166438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3" o:spid="_x0000_s1029" type="#_x0000_t202" style="position:absolute;left:0;text-align:left;margin-left:79.15pt;margin-top:115.75pt;width:81.8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8" o:spid="_x0000_s1028" type="#_x0000_t202" style="position:absolute;left:0;text-align:left;margin-left:162.05pt;margin-top:64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7" type="#_x0000_t202" style="position:absolute;left:0;text-align:left;margin-left:251.95pt;margin-top:6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6" type="#_x0000_t202" style="position:absolute;left:0;text-align:left;margin-left:88.6pt;margin-top:2.5pt;width:107.75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706781" w:rsidRDefault="00F21410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line id="直线 4" o:spid="_x0000_s1054" style="position:absolute;left:0;text-align:left;z-index:251688960;mso-width-relative:page;mso-height-relative:page" from="214.1pt,48.1pt" to="214.75pt,64.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7" o:spid="_x0000_s1053" style="position:absolute;left:0;text-align:left;flip:x;z-index:251687936;mso-width-relative:page;mso-height-relative:page" from="335.7pt,366.4pt" to="335.7pt,394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52" style="position:absolute;left:0;text-align:left;z-index:25168691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9" o:spid="_x0000_s1051" style="position:absolute;left:0;text-align:left;z-index:251685888;mso-width-relative:page;mso-height-relative:page" from="129.2pt,366.25pt" to="335.75pt,366.3pt" strokeweight="1pt"/>
        </w:pict>
      </w:r>
      <w:r>
        <w:rPr>
          <w:rFonts w:asciiTheme="minorEastAsia" w:eastAsiaTheme="minorEastAsia" w:hAnsiTheme="minorEastAsia"/>
        </w:rPr>
        <w:pict>
          <v:line id="_x0000_s1050" style="position:absolute;left:0;text-align:left;z-index:251684864;mso-width-relative:page;mso-height-relative:page" from="219.1pt,347.05pt" to="219.15pt,365.7pt" strokeweight="1pt"/>
        </w:pict>
      </w:r>
      <w:r>
        <w:rPr>
          <w:rFonts w:asciiTheme="minorEastAsia" w:eastAsiaTheme="minorEastAsia" w:hAnsiTheme="minorEastAsia"/>
        </w:rPr>
        <w:pict>
          <v:line id="_x0000_s1048" style="position:absolute;left:0;text-align:left;z-index:251682816;mso-width-relative:page;mso-height-relative:page" from="126.05pt,288.45pt" to="325.1pt,288.5pt" strokeweight="1pt"/>
        </w:pict>
      </w:r>
      <w:r>
        <w:rPr>
          <w:rFonts w:asciiTheme="minorEastAsia" w:eastAsiaTheme="minorEastAsia" w:hAnsiTheme="minorEastAsia"/>
        </w:rPr>
        <w:pict>
          <v:line id="直线 22" o:spid="_x0000_s1047" style="position:absolute;left:0;text-align:left;z-index:251681792;mso-width-relative:page;mso-height-relative:page" from="325.2pt,281.3pt" to="325.25pt,289.2pt" strokeweight="1pt"/>
        </w:pict>
      </w:r>
    </w:p>
    <w:p w:rsidR="00706781" w:rsidRDefault="00706781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706781" w:rsidRDefault="00706781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706781" w:rsidRDefault="00F2141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rect id="_x0000_s1055" style="position:absolute;left:0;text-align:left;margin-left:92.5pt;margin-top:300.85pt;width:150pt;height:61.2pt;z-index:251689984;mso-width-relative:page;mso-height-relative:page">
            <v:textbox>
              <w:txbxContent>
                <w:p w:rsidR="00706781" w:rsidRDefault="00F21410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49" style="position:absolute;left:0;text-align:left;z-index:251683840;mso-width-relative:page;mso-height-relative:page" from="216.95pt,200.55pt" to="216.95pt,216.15pt" filled="t" strokeweight="1pt">
            <v:stroke endarrow="block"/>
          </v:line>
        </w:pict>
      </w:r>
    </w:p>
    <w:sectPr w:rsidR="0070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691"/>
    <w:rsid w:val="00017694"/>
    <w:rsid w:val="00041095"/>
    <w:rsid w:val="000D44B0"/>
    <w:rsid w:val="00111D06"/>
    <w:rsid w:val="00116C27"/>
    <w:rsid w:val="00122BBE"/>
    <w:rsid w:val="0017057D"/>
    <w:rsid w:val="001826DC"/>
    <w:rsid w:val="001C3522"/>
    <w:rsid w:val="00222A9D"/>
    <w:rsid w:val="00296936"/>
    <w:rsid w:val="002A3D8B"/>
    <w:rsid w:val="002C411A"/>
    <w:rsid w:val="002D4B4F"/>
    <w:rsid w:val="002D7275"/>
    <w:rsid w:val="002E3C6A"/>
    <w:rsid w:val="002E6490"/>
    <w:rsid w:val="002F6080"/>
    <w:rsid w:val="002F76AC"/>
    <w:rsid w:val="00331340"/>
    <w:rsid w:val="003627C9"/>
    <w:rsid w:val="00364CA2"/>
    <w:rsid w:val="00377E21"/>
    <w:rsid w:val="00387F6C"/>
    <w:rsid w:val="003A332D"/>
    <w:rsid w:val="003B4EB6"/>
    <w:rsid w:val="004011FE"/>
    <w:rsid w:val="00412216"/>
    <w:rsid w:val="00423914"/>
    <w:rsid w:val="00441EA8"/>
    <w:rsid w:val="00457BAC"/>
    <w:rsid w:val="004600A8"/>
    <w:rsid w:val="004736F5"/>
    <w:rsid w:val="00473A69"/>
    <w:rsid w:val="0047649C"/>
    <w:rsid w:val="004947B4"/>
    <w:rsid w:val="004E2E47"/>
    <w:rsid w:val="004F1AF0"/>
    <w:rsid w:val="005106DC"/>
    <w:rsid w:val="005230D5"/>
    <w:rsid w:val="00554D3A"/>
    <w:rsid w:val="0056200E"/>
    <w:rsid w:val="00573CEB"/>
    <w:rsid w:val="00583680"/>
    <w:rsid w:val="00594331"/>
    <w:rsid w:val="0060146D"/>
    <w:rsid w:val="00602D7E"/>
    <w:rsid w:val="00605ACC"/>
    <w:rsid w:val="00642B5B"/>
    <w:rsid w:val="006446FF"/>
    <w:rsid w:val="0066220B"/>
    <w:rsid w:val="0066592B"/>
    <w:rsid w:val="00672B97"/>
    <w:rsid w:val="00676BBA"/>
    <w:rsid w:val="006804EE"/>
    <w:rsid w:val="006A31DF"/>
    <w:rsid w:val="006A41D2"/>
    <w:rsid w:val="006B1966"/>
    <w:rsid w:val="006C48F0"/>
    <w:rsid w:val="006E462B"/>
    <w:rsid w:val="006F5B93"/>
    <w:rsid w:val="006F7B38"/>
    <w:rsid w:val="00706781"/>
    <w:rsid w:val="007116A5"/>
    <w:rsid w:val="00746A64"/>
    <w:rsid w:val="00780DAD"/>
    <w:rsid w:val="0078775F"/>
    <w:rsid w:val="007A5511"/>
    <w:rsid w:val="007C736C"/>
    <w:rsid w:val="007D2FC8"/>
    <w:rsid w:val="007E45D2"/>
    <w:rsid w:val="008141BC"/>
    <w:rsid w:val="00815BBC"/>
    <w:rsid w:val="00835810"/>
    <w:rsid w:val="00840804"/>
    <w:rsid w:val="00850857"/>
    <w:rsid w:val="00880B70"/>
    <w:rsid w:val="008824A8"/>
    <w:rsid w:val="00884FB6"/>
    <w:rsid w:val="008A23C5"/>
    <w:rsid w:val="008B647A"/>
    <w:rsid w:val="008E2BF5"/>
    <w:rsid w:val="008F2319"/>
    <w:rsid w:val="00924817"/>
    <w:rsid w:val="00934A4B"/>
    <w:rsid w:val="00935230"/>
    <w:rsid w:val="00974EAC"/>
    <w:rsid w:val="00976535"/>
    <w:rsid w:val="009A1388"/>
    <w:rsid w:val="009B1850"/>
    <w:rsid w:val="009B75E3"/>
    <w:rsid w:val="009D70CD"/>
    <w:rsid w:val="009D7592"/>
    <w:rsid w:val="00A76B3C"/>
    <w:rsid w:val="00A90ABA"/>
    <w:rsid w:val="00A94D22"/>
    <w:rsid w:val="00A9768B"/>
    <w:rsid w:val="00AA7BB2"/>
    <w:rsid w:val="00AB06C0"/>
    <w:rsid w:val="00AB41B1"/>
    <w:rsid w:val="00AE193D"/>
    <w:rsid w:val="00B149DA"/>
    <w:rsid w:val="00B40B17"/>
    <w:rsid w:val="00B42095"/>
    <w:rsid w:val="00B73776"/>
    <w:rsid w:val="00B74AD5"/>
    <w:rsid w:val="00B8158A"/>
    <w:rsid w:val="00BB7A36"/>
    <w:rsid w:val="00C078C1"/>
    <w:rsid w:val="00C56763"/>
    <w:rsid w:val="00C779DF"/>
    <w:rsid w:val="00C965AA"/>
    <w:rsid w:val="00CD6C2A"/>
    <w:rsid w:val="00D14017"/>
    <w:rsid w:val="00D24DE4"/>
    <w:rsid w:val="00D353C9"/>
    <w:rsid w:val="00D36235"/>
    <w:rsid w:val="00D418A3"/>
    <w:rsid w:val="00D547A2"/>
    <w:rsid w:val="00DA166A"/>
    <w:rsid w:val="00DA6BF3"/>
    <w:rsid w:val="00E57FD8"/>
    <w:rsid w:val="00E63E8C"/>
    <w:rsid w:val="00E92880"/>
    <w:rsid w:val="00E935F3"/>
    <w:rsid w:val="00EC16E8"/>
    <w:rsid w:val="00EC62BC"/>
    <w:rsid w:val="00F21410"/>
    <w:rsid w:val="00F45491"/>
    <w:rsid w:val="00F5215D"/>
    <w:rsid w:val="00F53D1F"/>
    <w:rsid w:val="00F80DB3"/>
    <w:rsid w:val="00FA04CA"/>
    <w:rsid w:val="00FA1982"/>
    <w:rsid w:val="00FD3587"/>
    <w:rsid w:val="00FD7691"/>
    <w:rsid w:val="00FE7856"/>
    <w:rsid w:val="00FF7F8E"/>
    <w:rsid w:val="0B022BD0"/>
    <w:rsid w:val="29DB2113"/>
    <w:rsid w:val="4328200E"/>
    <w:rsid w:val="48BA32CA"/>
    <w:rsid w:val="51A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  <w15:docId w15:val="{266811F8-E59E-4337-BCA5-244643EE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 w:val="21"/>
      <w:szCs w:val="21"/>
    </w:rPr>
  </w:style>
  <w:style w:type="character" w:customStyle="1" w:styleId="info1">
    <w:name w:val="info1"/>
    <w:qFormat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54"/>
    <customShpInfo spid="_x0000_s1053"/>
    <customShpInfo spid="_x0000_s1052"/>
    <customShpInfo spid="_x0000_s1051"/>
    <customShpInfo spid="_x0000_s1050"/>
    <customShpInfo spid="_x0000_s1048"/>
    <customShpInfo spid="_x0000_s1047"/>
    <customShpInfo spid="_x0000_s1055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>Sky123.Org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11</cp:revision>
  <dcterms:created xsi:type="dcterms:W3CDTF">2017-07-13T02:23:00Z</dcterms:created>
  <dcterms:modified xsi:type="dcterms:W3CDTF">2017-12-13T08:46:00Z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