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DD" w:rsidRDefault="00D15D31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230ADD" w:rsidRDefault="00230ADD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cs="仿宋_GB2312"/>
          <w:sz w:val="44"/>
          <w:szCs w:val="44"/>
        </w:rPr>
      </w:pPr>
    </w:p>
    <w:p w:rsidR="00230ADD" w:rsidRDefault="00D15D31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对建设单位或者个人未使用新型墙</w:t>
      </w:r>
      <w:proofErr w:type="gramStart"/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体材</w:t>
      </w:r>
      <w:proofErr w:type="gramEnd"/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料而使用实心粘土砖的处罚</w:t>
      </w:r>
    </w:p>
    <w:p w:rsidR="00230ADD" w:rsidRDefault="00230ADD">
      <w:pPr>
        <w:pStyle w:val="p0"/>
        <w:widowControl w:val="0"/>
        <w:adjustRightInd w:val="0"/>
        <w:snapToGrid w:val="0"/>
        <w:spacing w:line="24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</w:p>
    <w:tbl>
      <w:tblPr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1410"/>
        <w:gridCol w:w="1417"/>
        <w:gridCol w:w="5712"/>
      </w:tblGrid>
      <w:tr w:rsidR="00230ADD">
        <w:trPr>
          <w:trHeight w:val="284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230ADD">
        <w:trPr>
          <w:trHeight w:val="284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230ADD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30ADD">
        <w:trPr>
          <w:trHeight w:val="284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230ADD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30ADD">
        <w:trPr>
          <w:trHeight w:val="284"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对建设单位或者个人未使用新型墙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料而使用实心粘土砖的处罚</w:t>
            </w:r>
          </w:p>
        </w:tc>
      </w:tr>
      <w:tr w:rsidR="00230ADD">
        <w:trPr>
          <w:trHeight w:val="284"/>
          <w:jc w:val="center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230ADD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230ADD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230AD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230ADD">
        <w:trPr>
          <w:trHeight w:val="284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230ADD">
        <w:trPr>
          <w:trHeight w:val="284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贺州市墙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料改革办公室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230ADD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30ADD" w:rsidRDefault="00230ADD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230ADD">
        <w:trPr>
          <w:trHeight w:val="2132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【地方性法规】《广西壮族自治区新型墙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料促进条例》（自治区人大常委会十届第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95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号公告，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2007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27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日）第二十七条：建设单位或者个人未使用新型墙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料而使用实心粘土砖的，由县级以上建设行政主管部门责令改正，无法改正的，按实心粘土砖使用量，处以每立方米十元罚款。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料而使用实心粘土砖的建设单位或者个人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级分级管理。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《广西壮族自治区新型墙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料促进条例》第二十七条：建设单位或者个人未使用新型墙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料而使用实心粘土砖的，由县级以上建设行政主管部门责令改正，无法改正的，按实心粘土砖使用量，处以每立方米十元罚款。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按照属地管理原则，市本级对本辖区范围内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未使用新型墙</w:t>
            </w:r>
            <w:proofErr w:type="gramStart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体材</w:t>
            </w:r>
            <w:proofErr w:type="gramEnd"/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料而使用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lastRenderedPageBreak/>
              <w:t>实心粘土砖的建设单位或者个人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。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230ADD">
        <w:trPr>
          <w:trHeight w:val="3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D15D31">
        <w:trPr>
          <w:trHeight w:val="34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15D31" w:rsidRDefault="00D15D31" w:rsidP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15D31" w:rsidRDefault="00D15D31" w:rsidP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15D31" w:rsidRDefault="00D15D31" w:rsidP="00D15D31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D15D31" w:rsidRDefault="00D15D31" w:rsidP="00D15D31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D15D31" w:rsidRDefault="00D15D31" w:rsidP="00D15D31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材料核实，现场核实，调查取证。 </w:t>
            </w:r>
          </w:p>
          <w:p w:rsidR="00D15D31" w:rsidRDefault="00D15D31" w:rsidP="00D15D31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D15D31" w:rsidRDefault="00D15D31" w:rsidP="00D15D31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4.告知责任：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行政处罚决定前，制作《行政处罚告知书》送达当事人，告知违法事实、处罚依据和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拟处罚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意见，以及当事人享有的陈述、申辩等权利。符合听证规定的，制作并送达《行政处罚听证告知书》。</w:t>
            </w:r>
          </w:p>
          <w:p w:rsidR="00D15D31" w:rsidRDefault="00D15D31" w:rsidP="00D15D31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5.决定责任：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处罚决定，制作行政处罚决定书，载明行政处罚告知、当事人陈述申辩或者听证情况等内容。</w:t>
            </w:r>
          </w:p>
          <w:p w:rsidR="00D15D31" w:rsidRDefault="00D15D31" w:rsidP="00D15D31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6.送达责任：按有关规定将行政处罚决定书送达当事人。  </w:t>
            </w:r>
          </w:p>
          <w:p w:rsidR="00D15D31" w:rsidRDefault="00D15D31" w:rsidP="00D15D31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7.执行责任：依照生效的行政处罚决定，自觉履行或强制执行。</w:t>
            </w:r>
          </w:p>
          <w:p w:rsidR="00D15D31" w:rsidRDefault="00D15D31" w:rsidP="00D15D31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8.监督责任：对处罚决定执行情况进行监督检查。</w:t>
            </w:r>
          </w:p>
          <w:p w:rsidR="00D15D31" w:rsidRDefault="00D15D31" w:rsidP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9.其他法律法规规章文件规定应履行的责任。</w:t>
            </w:r>
          </w:p>
        </w:tc>
      </w:tr>
      <w:tr w:rsidR="00D15D31">
        <w:trPr>
          <w:trHeight w:val="34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15D31" w:rsidRDefault="00D15D31" w:rsidP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D15D31" w:rsidRDefault="00D15D31" w:rsidP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15D31" w:rsidRDefault="00D15D31" w:rsidP="00D15D31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因不履行或不正确履行行政职责，有下列情形的行政机关及相关工作人员应承担相应的责任：</w:t>
            </w:r>
          </w:p>
          <w:p w:rsidR="00D15D31" w:rsidRDefault="00D15D31" w:rsidP="00D15D31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 发现违法行为不予查处的；</w:t>
            </w:r>
          </w:p>
          <w:p w:rsidR="00D15D31" w:rsidRDefault="00D15D31" w:rsidP="00D15D31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 违反法定处罚程序的；</w:t>
            </w:r>
          </w:p>
          <w:p w:rsidR="00D15D31" w:rsidRDefault="00D15D31" w:rsidP="00D15D31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 利用职务便利索取或者收受当事人财物徇私舞弊袒护当事人的；</w:t>
            </w:r>
          </w:p>
          <w:p w:rsidR="00D15D31" w:rsidRDefault="00D15D31" w:rsidP="00D15D31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 擅自改变行政处罚种类、幅度的；</w:t>
            </w:r>
          </w:p>
          <w:p w:rsidR="00D15D31" w:rsidRDefault="00D15D31" w:rsidP="00D15D3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 其他违反法律法规规定的行为。</w:t>
            </w:r>
          </w:p>
        </w:tc>
      </w:tr>
      <w:tr w:rsidR="00230ADD">
        <w:trPr>
          <w:trHeight w:val="680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230ADD" w:rsidRDefault="00230ADD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230ADD" w:rsidRDefault="00230ADD">
      <w:pPr>
        <w:adjustRightInd w:val="0"/>
        <w:snapToGrid w:val="0"/>
        <w:spacing w:line="590" w:lineRule="exact"/>
        <w:ind w:firstLineChars="600" w:firstLine="2640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p w:rsidR="00230ADD" w:rsidRDefault="00D15D31">
      <w:pPr>
        <w:adjustRightInd w:val="0"/>
        <w:snapToGrid w:val="0"/>
        <w:spacing w:line="590" w:lineRule="exact"/>
        <w:ind w:firstLineChars="600" w:firstLine="2640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230ADD" w:rsidRDefault="00230ADD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816"/>
        <w:gridCol w:w="521"/>
        <w:gridCol w:w="3409"/>
        <w:gridCol w:w="1064"/>
      </w:tblGrid>
      <w:tr w:rsidR="00230ADD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230ADD">
        <w:trPr>
          <w:trHeight w:val="34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230ADD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DD" w:rsidRDefault="00230AD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230ADD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DD" w:rsidRDefault="00230AD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230ADD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DD" w:rsidRDefault="00230AD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0ADD" w:rsidRDefault="00D15D31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230ADD" w:rsidRDefault="00D15D31">
      <w:pPr>
        <w:spacing w:line="590" w:lineRule="exact"/>
        <w:ind w:leftChars="-200" w:left="-584" w:rightChars="-231" w:right="-693" w:hangingChars="5" w:hanging="1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对建设单位或者个人未使用新型墙</w:t>
      </w:r>
      <w:proofErr w:type="gramStart"/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体材</w:t>
      </w:r>
      <w:proofErr w:type="gramEnd"/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料而使用实心粘土砖的处罚流程图</w:t>
      </w:r>
    </w:p>
    <w:p w:rsidR="00230ADD" w:rsidRDefault="00D15D31">
      <w:pPr>
        <w:spacing w:line="590" w:lineRule="exact"/>
        <w:rPr>
          <w:rFonts w:ascii="黑体" w:eastAsia="黑体" w:hAnsiTheme="minorEastAsia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:rsidR="00230ADD" w:rsidRDefault="00230ADD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</w:p>
    <w:p w:rsidR="00230ADD" w:rsidRDefault="00D15D31">
      <w:pPr>
        <w:adjustRightInd w:val="0"/>
        <w:snapToGrid w:val="0"/>
        <w:spacing w:line="540" w:lineRule="exact"/>
        <w:jc w:val="center"/>
        <w:rPr>
          <w:rFonts w:ascii="方正小标宋_GBK" w:eastAsia="方正小标宋_GBK" w:hAnsiTheme="minorEastAsia"/>
          <w:kern w:val="1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对建设单位或者个人未使用新型墙</w:t>
      </w:r>
      <w:proofErr w:type="gramStart"/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体材</w:t>
      </w:r>
      <w:proofErr w:type="gramEnd"/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料而使用实心粘土砖的处罚流程图</w:t>
      </w:r>
    </w:p>
    <w:p w:rsidR="00230ADD" w:rsidRDefault="00230ADD">
      <w:pPr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sz w:val="44"/>
          <w:szCs w:val="44"/>
          <w:shd w:val="clear" w:color="auto" w:fill="FFFFFF"/>
        </w:rPr>
      </w:pPr>
    </w:p>
    <w:p w:rsidR="00230ADD" w:rsidRDefault="00230ADD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230ADD" w:rsidRDefault="00D15D31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</w:rPr>
        <w:pict>
          <v:line id="直线 20" o:spid="_x0000_s1046" style="position:absolute;left:0;text-align:left;flip:x;z-index:251680768;mso-width-relative:page;mso-height-relative:page" from="125.4pt,257.45pt" to="126.05pt,288.45pt" strokeweight="1pt"/>
        </w:pict>
      </w:r>
      <w:r>
        <w:rPr>
          <w:rFonts w:asciiTheme="minorEastAsia" w:eastAsiaTheme="minorEastAsia" w:hAnsiTheme="minorEastAsia"/>
        </w:rPr>
        <w:pict>
          <v:line id="_x0000_s1045" style="position:absolute;left:0;text-align:left;z-index:251679744;mso-width-relative:page;mso-height-relative:page" from="174.8pt,242.05pt" to="236.6pt,242.0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5" o:spid="_x0000_s1044" style="position:absolute;left:0;text-align:left;z-index:251678720;mso-width-relative:page;mso-height-relative:page" from="317.95pt,145.2pt" to="318pt,166.3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7" o:spid="_x0000_s1043" style="position:absolute;left:0;text-align:left;z-index:251677696;mso-width-relative:page;mso-height-relative:page" from="122.95pt,145.9pt" to="123pt,227.7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9" o:spid="_x0000_s1042" style="position:absolute;left:0;text-align:left;z-index:251676672;mso-width-relative:page;mso-height-relative:page" from="319.3pt,81.8pt" to="319.35pt,115.9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0" o:spid="_x0000_s1041" style="position:absolute;left:0;text-align:left;z-index:251675648;mso-width-relative:page;mso-height-relative:page" from="120.9pt,80.45pt" to="120.95pt,115.2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1" o:spid="_x0000_s1040" style="position:absolute;left:0;text-align:left;z-index:251674624;mso-width-relative:page;mso-height-relative:page" from="269.55pt,81.1pt" to="319.3pt,81.15pt" filled="t" strokeweight="1pt"/>
        </w:pict>
      </w:r>
      <w:r>
        <w:rPr>
          <w:rFonts w:asciiTheme="minorEastAsia" w:eastAsiaTheme="minorEastAsia" w:hAnsiTheme="minorEastAsia"/>
        </w:rPr>
        <w:pict>
          <v:line id="直线 12" o:spid="_x0000_s1039" style="position:absolute;left:0;text-align:left;flip:x;z-index:251673600;mso-width-relative:page;mso-height-relative:page" from="120.25pt,80.45pt" to="161.8pt,80.5pt" filled="t" strokeweight="1pt"/>
        </w:pict>
      </w:r>
      <w:r>
        <w:rPr>
          <w:rFonts w:asciiTheme="minorEastAsia" w:eastAsiaTheme="minorEastAsia" w:hAnsiTheme="minorEastAsia"/>
        </w:rPr>
        <w:pict>
          <v:line id="直线 6" o:spid="_x0000_s1038" style="position:absolute;left:0;text-align:left;z-index:251672576;mso-width-relative:page;mso-height-relative:page" from="133.2pt,48.4pt" to="305.7pt,48.45pt" filled="t" strokeweight="1pt"/>
        </w:pict>
      </w:r>
      <w:r>
        <w:rPr>
          <w:rFonts w:asciiTheme="minorEastAsia" w:eastAsiaTheme="minorEastAsia" w:hAnsiTheme="minorEastAsia"/>
        </w:rPr>
        <w:pict>
          <v:line id="直线 7" o:spid="_x0000_s1037" style="position:absolute;left:0;text-align:left;z-index:251671552;mso-width-relative:page;mso-height-relative:page" from="305pt,36.1pt" to="305.05pt,47.7pt" filled="t" strokeweight="1pt"/>
        </w:pict>
      </w:r>
      <w:r>
        <w:rPr>
          <w:rFonts w:asciiTheme="minorEastAsia" w:eastAsiaTheme="minorEastAsia" w:hAnsiTheme="minorEastAsia"/>
        </w:rPr>
        <w:pict>
          <v:line id="直线 5" o:spid="_x0000_s1036" style="position:absolute;left:0;text-align:left;z-index:251670528;mso-width-relative:page;mso-height-relative:page" from="133.2pt,32.15pt" to="133.25pt,48.55pt" filled="t" strokeweight="1pt"/>
        </w:pict>
      </w: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35" type="#_x0000_t202" style="position:absolute;left:0;text-align:left;margin-left:286.25pt;margin-top:393.65pt;width:110.5pt;height:28.7pt;z-index:25166950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beforeLines="20" w:before="62" w:line="2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依法公开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8" o:spid="_x0000_s1034" type="#_x0000_t202" style="position:absolute;left:0;text-align:left;margin-left:237.15pt;margin-top:209.8pt;width:239.6pt;height:70.5pt;z-index:25166848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行政处罚决定之前，应当告知当事人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行政处罚决定的事实、理由及依据，并告知当事人依法享有的权利。责令停产停业、吊销许可证或者执照等情形，告知听证权利，依申请组织听证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25" o:spid="_x0000_s1033" type="#_x0000_t202" style="position:absolute;left:0;text-align:left;margin-left:126.4pt;margin-top:306.75pt;width:215.45pt;height:40pt;z-index:25166745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0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对案件事实和适用法律问题，进行认定依法</w:t>
                  </w:r>
                  <w:proofErr w:type="gramStart"/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作出</w:t>
                  </w:r>
                  <w:proofErr w:type="gramEnd"/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行政处罚决定，制作行政处罚决定书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9" o:spid="_x0000_s1032" type="#_x0000_t202" style="position:absolute;left:0;text-align:left;margin-left:81.15pt;margin-top:227.6pt;width:92.8pt;height:29.4pt;z-index:25166643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6" o:spid="_x0000_s1031" type="#_x0000_t202" style="position:absolute;left:0;text-align:left;margin-left:246.5pt;margin-top:167.25pt;width:158.15pt;height:37.5pt;z-index:25166540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4" o:spid="_x0000_s1030" type="#_x0000_t202" style="position:absolute;left:0;text-align:left;margin-left:262.85pt;margin-top:116pt;width:107.75pt;height:29.4pt;z-index:25166438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不予立案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3" o:spid="_x0000_s1029" type="#_x0000_t202" style="position:absolute;left:0;text-align:left;margin-left:79.15pt;margin-top:115.75pt;width:81.8pt;height:29.4pt;z-index:25166336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8" o:spid="_x0000_s1028" type="#_x0000_t202" style="position:absolute;left:0;text-align:left;margin-left:162.05pt;margin-top:64.25pt;width:107.75pt;height:29.4pt;z-index:25166233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审查核实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7" type="#_x0000_t202" style="position:absolute;left:0;text-align:left;margin-left:251.95pt;margin-top:6.25pt;width:107.75pt;height:29.4pt;z-index:25166131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举报投诉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6" type="#_x0000_t202" style="position:absolute;left:0;text-align:left;margin-left:88.6pt;margin-top:2.5pt;width:107.75pt;height:29.4pt;z-index:25166028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230ADD" w:rsidRDefault="00D15D31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日常监督检查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line id="直线 4" o:spid="_x0000_s1054" style="position:absolute;left:0;text-align:left;z-index:251688960;mso-width-relative:page;mso-height-relative:page" from="214.1pt,48.1pt" to="214.75pt,64.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7" o:spid="_x0000_s1053" style="position:absolute;left:0;text-align:left;flip:x;z-index:251687936;mso-width-relative:page;mso-height-relative:page" from="335.7pt,366.4pt" to="335.7pt,394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52" style="position:absolute;left:0;text-align:left;z-index:251686912;mso-width-relative:page;mso-height-relative:page" from="129.1pt,365.75pt" to="129.1pt,388.2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9" o:spid="_x0000_s1051" style="position:absolute;left:0;text-align:left;z-index:251685888;mso-width-relative:page;mso-height-relative:page" from="129.2pt,366.25pt" to="335.75pt,366.3pt" strokeweight="1pt"/>
        </w:pict>
      </w:r>
      <w:r>
        <w:rPr>
          <w:rFonts w:asciiTheme="minorEastAsia" w:eastAsiaTheme="minorEastAsia" w:hAnsiTheme="minorEastAsia"/>
        </w:rPr>
        <w:pict>
          <v:line id="_x0000_s1050" style="position:absolute;left:0;text-align:left;z-index:251684864;mso-width-relative:page;mso-height-relative:page" from="219.1pt,347.05pt" to="219.15pt,365.7pt" strokeweight="1pt"/>
        </w:pict>
      </w:r>
      <w:r>
        <w:rPr>
          <w:rFonts w:asciiTheme="minorEastAsia" w:eastAsiaTheme="minorEastAsia" w:hAnsiTheme="minorEastAsia"/>
        </w:rPr>
        <w:pict>
          <v:line id="_x0000_s1048" style="position:absolute;left:0;text-align:left;z-index:251682816;mso-width-relative:page;mso-height-relative:page" from="126.05pt,288.45pt" to="325.1pt,288.5pt" strokeweight="1pt"/>
        </w:pict>
      </w:r>
      <w:r>
        <w:rPr>
          <w:rFonts w:asciiTheme="minorEastAsia" w:eastAsiaTheme="minorEastAsia" w:hAnsiTheme="minorEastAsia"/>
        </w:rPr>
        <w:pict>
          <v:line id="直线 22" o:spid="_x0000_s1047" style="position:absolute;left:0;text-align:left;z-index:251681792;mso-width-relative:page;mso-height-relative:page" from="325.2pt,281.3pt" to="325.25pt,289.2pt" strokeweight="1pt"/>
        </w:pict>
      </w:r>
    </w:p>
    <w:p w:rsidR="00230ADD" w:rsidRDefault="00230ADD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230ADD" w:rsidRDefault="00230ADD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230ADD" w:rsidRDefault="00D15D3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rect id="_x0000_s1055" style="position:absolute;left:0;text-align:left;margin-left:92.5pt;margin-top:300.85pt;width:150pt;height:61.2pt;z-index:251689984;mso-width-relative:page;mso-height-relative:page">
            <v:textbox>
              <w:txbxContent>
                <w:p w:rsidR="00230ADD" w:rsidRDefault="00D15D31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行政处罚决定书送达当事人，并告知依法申请复议、提起行政诉讼的权利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直线 23" o:spid="_x0000_s1049" style="position:absolute;left:0;text-align:left;z-index:251683840;mso-width-relative:page;mso-height-relative:page" from="216.95pt,200.55pt" to="216.95pt,216.15pt" filled="t" strokeweight="1pt">
            <v:stroke endarrow="block"/>
          </v:line>
        </w:pict>
      </w: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</w:p>
    <w:sectPr w:rsidR="0023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559"/>
    <w:rsid w:val="00003C6C"/>
    <w:rsid w:val="00017694"/>
    <w:rsid w:val="00023BE7"/>
    <w:rsid w:val="0006439E"/>
    <w:rsid w:val="00085877"/>
    <w:rsid w:val="000B1DAC"/>
    <w:rsid w:val="000B7559"/>
    <w:rsid w:val="000D44B0"/>
    <w:rsid w:val="000F103F"/>
    <w:rsid w:val="00111D06"/>
    <w:rsid w:val="00116C27"/>
    <w:rsid w:val="00121D2A"/>
    <w:rsid w:val="00122BBE"/>
    <w:rsid w:val="00137BB6"/>
    <w:rsid w:val="001670C4"/>
    <w:rsid w:val="0017057D"/>
    <w:rsid w:val="001767F8"/>
    <w:rsid w:val="001826DC"/>
    <w:rsid w:val="001868E9"/>
    <w:rsid w:val="0019095E"/>
    <w:rsid w:val="001A77F5"/>
    <w:rsid w:val="001C3522"/>
    <w:rsid w:val="001E45D6"/>
    <w:rsid w:val="001E54D1"/>
    <w:rsid w:val="00214C35"/>
    <w:rsid w:val="00220C63"/>
    <w:rsid w:val="00222A9D"/>
    <w:rsid w:val="00230ADD"/>
    <w:rsid w:val="0023788F"/>
    <w:rsid w:val="00254539"/>
    <w:rsid w:val="00266D63"/>
    <w:rsid w:val="00267C2E"/>
    <w:rsid w:val="0027506A"/>
    <w:rsid w:val="00287968"/>
    <w:rsid w:val="00296936"/>
    <w:rsid w:val="002A3D8B"/>
    <w:rsid w:val="002C411A"/>
    <w:rsid w:val="002D2745"/>
    <w:rsid w:val="002D4B4F"/>
    <w:rsid w:val="002D6D68"/>
    <w:rsid w:val="002D7275"/>
    <w:rsid w:val="002E6490"/>
    <w:rsid w:val="002E7A6D"/>
    <w:rsid w:val="002F501D"/>
    <w:rsid w:val="002F6080"/>
    <w:rsid w:val="002F76AC"/>
    <w:rsid w:val="003308A5"/>
    <w:rsid w:val="00331340"/>
    <w:rsid w:val="003566E1"/>
    <w:rsid w:val="003605CE"/>
    <w:rsid w:val="003627C9"/>
    <w:rsid w:val="00364CA2"/>
    <w:rsid w:val="00377E21"/>
    <w:rsid w:val="00380544"/>
    <w:rsid w:val="00387F6C"/>
    <w:rsid w:val="00393FC4"/>
    <w:rsid w:val="003A332D"/>
    <w:rsid w:val="003B4EB6"/>
    <w:rsid w:val="004011FE"/>
    <w:rsid w:val="004017BD"/>
    <w:rsid w:val="0040303C"/>
    <w:rsid w:val="0041552D"/>
    <w:rsid w:val="00427014"/>
    <w:rsid w:val="004522CC"/>
    <w:rsid w:val="00457BAC"/>
    <w:rsid w:val="004600A8"/>
    <w:rsid w:val="00464C07"/>
    <w:rsid w:val="0047649C"/>
    <w:rsid w:val="00477D94"/>
    <w:rsid w:val="004947B4"/>
    <w:rsid w:val="004D09F7"/>
    <w:rsid w:val="004E2E47"/>
    <w:rsid w:val="004F1AF0"/>
    <w:rsid w:val="00505FAB"/>
    <w:rsid w:val="00513FFB"/>
    <w:rsid w:val="005230D5"/>
    <w:rsid w:val="005264BF"/>
    <w:rsid w:val="00540435"/>
    <w:rsid w:val="00554D3A"/>
    <w:rsid w:val="0056200E"/>
    <w:rsid w:val="0056252F"/>
    <w:rsid w:val="00565A0D"/>
    <w:rsid w:val="00573CEB"/>
    <w:rsid w:val="00583680"/>
    <w:rsid w:val="00594331"/>
    <w:rsid w:val="005C77C3"/>
    <w:rsid w:val="005E500C"/>
    <w:rsid w:val="005F5243"/>
    <w:rsid w:val="0060146D"/>
    <w:rsid w:val="00602D7E"/>
    <w:rsid w:val="00605ACC"/>
    <w:rsid w:val="00642B5B"/>
    <w:rsid w:val="006446FF"/>
    <w:rsid w:val="00672B97"/>
    <w:rsid w:val="006804EE"/>
    <w:rsid w:val="00695A5C"/>
    <w:rsid w:val="006971BE"/>
    <w:rsid w:val="006A31DF"/>
    <w:rsid w:val="006A41D2"/>
    <w:rsid w:val="006B1966"/>
    <w:rsid w:val="006C48F0"/>
    <w:rsid w:val="006E462B"/>
    <w:rsid w:val="006F5B93"/>
    <w:rsid w:val="006F7B38"/>
    <w:rsid w:val="00714A44"/>
    <w:rsid w:val="00714DA0"/>
    <w:rsid w:val="00730E90"/>
    <w:rsid w:val="00736978"/>
    <w:rsid w:val="00746A64"/>
    <w:rsid w:val="00780DAD"/>
    <w:rsid w:val="007A33D6"/>
    <w:rsid w:val="007A5511"/>
    <w:rsid w:val="007C3096"/>
    <w:rsid w:val="007C736C"/>
    <w:rsid w:val="007D2FC8"/>
    <w:rsid w:val="007E45D2"/>
    <w:rsid w:val="007E4EF5"/>
    <w:rsid w:val="007F0907"/>
    <w:rsid w:val="00803740"/>
    <w:rsid w:val="008141BC"/>
    <w:rsid w:val="00815BBC"/>
    <w:rsid w:val="00817000"/>
    <w:rsid w:val="008269AF"/>
    <w:rsid w:val="00835810"/>
    <w:rsid w:val="00837C7F"/>
    <w:rsid w:val="00840804"/>
    <w:rsid w:val="00850857"/>
    <w:rsid w:val="00867207"/>
    <w:rsid w:val="00880AC8"/>
    <w:rsid w:val="008824A8"/>
    <w:rsid w:val="00884FB6"/>
    <w:rsid w:val="008A23C5"/>
    <w:rsid w:val="008A338D"/>
    <w:rsid w:val="008B647A"/>
    <w:rsid w:val="008B6B4A"/>
    <w:rsid w:val="008C6821"/>
    <w:rsid w:val="008E2BF5"/>
    <w:rsid w:val="008E7E57"/>
    <w:rsid w:val="008F2319"/>
    <w:rsid w:val="008F61F7"/>
    <w:rsid w:val="00900E89"/>
    <w:rsid w:val="0090133B"/>
    <w:rsid w:val="00913DF8"/>
    <w:rsid w:val="00924817"/>
    <w:rsid w:val="00933EDE"/>
    <w:rsid w:val="00935230"/>
    <w:rsid w:val="00974EAC"/>
    <w:rsid w:val="00975FBB"/>
    <w:rsid w:val="00976535"/>
    <w:rsid w:val="00992C63"/>
    <w:rsid w:val="009A1388"/>
    <w:rsid w:val="009B1850"/>
    <w:rsid w:val="009B75E3"/>
    <w:rsid w:val="009D70CD"/>
    <w:rsid w:val="009D7592"/>
    <w:rsid w:val="00A01EC2"/>
    <w:rsid w:val="00A3486B"/>
    <w:rsid w:val="00A76B3C"/>
    <w:rsid w:val="00A77B23"/>
    <w:rsid w:val="00A83061"/>
    <w:rsid w:val="00A90ABA"/>
    <w:rsid w:val="00A92A2E"/>
    <w:rsid w:val="00A94D22"/>
    <w:rsid w:val="00A9768B"/>
    <w:rsid w:val="00AA7BB2"/>
    <w:rsid w:val="00AC6013"/>
    <w:rsid w:val="00AE193D"/>
    <w:rsid w:val="00AE1990"/>
    <w:rsid w:val="00B149DA"/>
    <w:rsid w:val="00B40B17"/>
    <w:rsid w:val="00B42095"/>
    <w:rsid w:val="00B73776"/>
    <w:rsid w:val="00B74ACF"/>
    <w:rsid w:val="00B74AD5"/>
    <w:rsid w:val="00B75ACE"/>
    <w:rsid w:val="00B8158A"/>
    <w:rsid w:val="00B944D1"/>
    <w:rsid w:val="00BA2C39"/>
    <w:rsid w:val="00BB003A"/>
    <w:rsid w:val="00BB7A36"/>
    <w:rsid w:val="00BE57F6"/>
    <w:rsid w:val="00C078C1"/>
    <w:rsid w:val="00C16508"/>
    <w:rsid w:val="00C16E4E"/>
    <w:rsid w:val="00C67393"/>
    <w:rsid w:val="00C70EAB"/>
    <w:rsid w:val="00C7352E"/>
    <w:rsid w:val="00C779DF"/>
    <w:rsid w:val="00C87F11"/>
    <w:rsid w:val="00C965AA"/>
    <w:rsid w:val="00CA5FAC"/>
    <w:rsid w:val="00CD00BB"/>
    <w:rsid w:val="00CD6C2A"/>
    <w:rsid w:val="00D0766C"/>
    <w:rsid w:val="00D15D31"/>
    <w:rsid w:val="00D17B3B"/>
    <w:rsid w:val="00D24DE4"/>
    <w:rsid w:val="00D353C9"/>
    <w:rsid w:val="00D36235"/>
    <w:rsid w:val="00D418A3"/>
    <w:rsid w:val="00D547A2"/>
    <w:rsid w:val="00D5659F"/>
    <w:rsid w:val="00DA166A"/>
    <w:rsid w:val="00DA6BF3"/>
    <w:rsid w:val="00E15409"/>
    <w:rsid w:val="00E347E5"/>
    <w:rsid w:val="00E512D9"/>
    <w:rsid w:val="00E57FD8"/>
    <w:rsid w:val="00E63E8C"/>
    <w:rsid w:val="00E80D21"/>
    <w:rsid w:val="00E92880"/>
    <w:rsid w:val="00EA20B8"/>
    <w:rsid w:val="00EC16E8"/>
    <w:rsid w:val="00EC62BC"/>
    <w:rsid w:val="00ED1DB3"/>
    <w:rsid w:val="00ED63F7"/>
    <w:rsid w:val="00F038B2"/>
    <w:rsid w:val="00F37186"/>
    <w:rsid w:val="00F404D1"/>
    <w:rsid w:val="00F45491"/>
    <w:rsid w:val="00F50790"/>
    <w:rsid w:val="00F53D1F"/>
    <w:rsid w:val="00F56415"/>
    <w:rsid w:val="00F80669"/>
    <w:rsid w:val="00F80DB3"/>
    <w:rsid w:val="00F82CA1"/>
    <w:rsid w:val="00F934FA"/>
    <w:rsid w:val="00FA04CA"/>
    <w:rsid w:val="00FA1982"/>
    <w:rsid w:val="00FA6F9E"/>
    <w:rsid w:val="00FB64B2"/>
    <w:rsid w:val="00FC0269"/>
    <w:rsid w:val="00FD3587"/>
    <w:rsid w:val="00FE7856"/>
    <w:rsid w:val="094873A4"/>
    <w:rsid w:val="51527C21"/>
    <w:rsid w:val="5BA65FBA"/>
    <w:rsid w:val="60BC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  <w15:docId w15:val="{48165A85-FDD2-445D-AFB2-0175402A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 w:val="21"/>
      <w:szCs w:val="21"/>
    </w:rPr>
  </w:style>
  <w:style w:type="character" w:customStyle="1" w:styleId="info1">
    <w:name w:val="info1"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  <customShpInfo spid="_x0000_s1054"/>
    <customShpInfo spid="_x0000_s1053"/>
    <customShpInfo spid="_x0000_s1052"/>
    <customShpInfo spid="_x0000_s1051"/>
    <customShpInfo spid="_x0000_s1050"/>
    <customShpInfo spid="_x0000_s1048"/>
    <customShpInfo spid="_x0000_s1047"/>
    <customShpInfo spid="_x0000_s1055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>Sky123.Org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10</cp:revision>
  <dcterms:created xsi:type="dcterms:W3CDTF">2017-07-17T07:16:00Z</dcterms:created>
  <dcterms:modified xsi:type="dcterms:W3CDTF">2017-12-13T08:51:00Z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