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C8" w:rsidRDefault="00BE696F">
      <w:pPr>
        <w:adjustRightInd w:val="0"/>
        <w:snapToGrid w:val="0"/>
        <w:spacing w:line="560" w:lineRule="exact"/>
        <w:rPr>
          <w:rFonts w:ascii="方正小标宋_GBK" w:eastAsia="方正小标宋_GBK" w:hAnsiTheme="minorEastAsia"/>
          <w:sz w:val="32"/>
          <w:szCs w:val="32"/>
          <w:shd w:val="clear" w:color="auto" w:fill="FFFFFF"/>
        </w:rPr>
      </w:pPr>
      <w:r>
        <w:rPr>
          <w:rFonts w:ascii="方正小标宋_GBK" w:eastAsia="方正小标宋_GBK" w:hAnsiTheme="minorEastAsia" w:hint="eastAsia"/>
          <w:sz w:val="32"/>
          <w:szCs w:val="32"/>
          <w:shd w:val="clear" w:color="auto" w:fill="FFFFFF"/>
        </w:rPr>
        <w:t>行政权力事项实施清单</w:t>
      </w:r>
    </w:p>
    <w:p w:rsidR="00BD10C8" w:rsidRDefault="00BD10C8">
      <w:pPr>
        <w:adjustRightInd w:val="0"/>
        <w:snapToGrid w:val="0"/>
        <w:spacing w:line="560" w:lineRule="exact"/>
        <w:jc w:val="center"/>
        <w:rPr>
          <w:rFonts w:ascii="方正小标宋_GBK" w:eastAsia="方正小标宋_GBK" w:hAnsiTheme="majorEastAsia"/>
          <w:b/>
          <w:sz w:val="36"/>
          <w:szCs w:val="36"/>
        </w:rPr>
      </w:pPr>
    </w:p>
    <w:p w:rsidR="00BD10C8" w:rsidRDefault="00BE696F">
      <w:pPr>
        <w:adjustRightInd w:val="0"/>
        <w:snapToGrid w:val="0"/>
        <w:spacing w:line="560" w:lineRule="exact"/>
        <w:jc w:val="center"/>
        <w:rPr>
          <w:rFonts w:ascii="方正小标宋_GBK" w:eastAsia="方正小标宋_GBK" w:hAnsiTheme="majorEastAsia"/>
          <w:bCs/>
          <w:sz w:val="44"/>
          <w:szCs w:val="44"/>
        </w:rPr>
      </w:pPr>
      <w:r>
        <w:rPr>
          <w:rFonts w:ascii="方正小标宋_GBK" w:eastAsia="方正小标宋_GBK" w:hAnsiTheme="majorEastAsia" w:hint="eastAsia"/>
          <w:bCs/>
          <w:sz w:val="44"/>
          <w:szCs w:val="44"/>
        </w:rPr>
        <w:t>建设单位明示或者暗示施工单位使用、采购不符合施工图设计文件要求的墙体材料使用列入禁止使用目录的技术、工艺、材料和设备的处罚</w:t>
      </w:r>
    </w:p>
    <w:p w:rsidR="00BD10C8" w:rsidRDefault="00BD10C8">
      <w:pPr>
        <w:adjustRightInd w:val="0"/>
        <w:snapToGrid w:val="0"/>
        <w:spacing w:line="240" w:lineRule="exact"/>
        <w:jc w:val="center"/>
        <w:rPr>
          <w:rFonts w:ascii="方正小标宋_GBK" w:eastAsia="方正小标宋_GBK" w:hAnsiTheme="majorEastAsia"/>
          <w:bCs/>
          <w:sz w:val="44"/>
          <w:szCs w:val="44"/>
        </w:rPr>
      </w:pPr>
    </w:p>
    <w:tbl>
      <w:tblPr>
        <w:tblW w:w="9072" w:type="dxa"/>
        <w:jc w:val="center"/>
        <w:tblLayout w:type="fixed"/>
        <w:tblLook w:val="04A0" w:firstRow="1" w:lastRow="0" w:firstColumn="1" w:lastColumn="0" w:noHBand="0" w:noVBand="1"/>
      </w:tblPr>
      <w:tblGrid>
        <w:gridCol w:w="533"/>
        <w:gridCol w:w="1424"/>
        <w:gridCol w:w="1418"/>
        <w:gridCol w:w="5697"/>
      </w:tblGrid>
      <w:tr w:rsidR="00BD10C8">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事项类型</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行政处罚</w:t>
            </w:r>
          </w:p>
        </w:tc>
      </w:tr>
      <w:tr w:rsidR="00BD10C8">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基本编码</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D10C8">
            <w:pPr>
              <w:adjustRightInd w:val="0"/>
              <w:snapToGrid w:val="0"/>
              <w:spacing w:line="400" w:lineRule="exact"/>
              <w:ind w:firstLineChars="200" w:firstLine="422"/>
              <w:rPr>
                <w:rFonts w:asciiTheme="minorEastAsia" w:eastAsiaTheme="minorEastAsia" w:hAnsiTheme="minorEastAsia"/>
                <w:b/>
                <w:sz w:val="21"/>
                <w:szCs w:val="21"/>
              </w:rPr>
            </w:pPr>
          </w:p>
        </w:tc>
      </w:tr>
      <w:tr w:rsidR="00BD10C8">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3</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实施编码</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D10C8">
            <w:pPr>
              <w:adjustRightInd w:val="0"/>
              <w:snapToGrid w:val="0"/>
              <w:spacing w:line="400" w:lineRule="exact"/>
              <w:ind w:firstLineChars="200" w:firstLine="422"/>
              <w:rPr>
                <w:rFonts w:asciiTheme="minorEastAsia" w:eastAsiaTheme="minorEastAsia" w:hAnsiTheme="minorEastAsia"/>
                <w:b/>
                <w:sz w:val="21"/>
                <w:szCs w:val="21"/>
              </w:rPr>
            </w:pPr>
          </w:p>
        </w:tc>
      </w:tr>
      <w:tr w:rsidR="00BD10C8">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4</w:t>
            </w:r>
          </w:p>
        </w:tc>
        <w:tc>
          <w:tcPr>
            <w:tcW w:w="1424" w:type="dxa"/>
            <w:vMerge w:val="restart"/>
            <w:tcBorders>
              <w:top w:val="single" w:sz="4" w:space="0" w:color="000000"/>
              <w:left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事项名称</w:t>
            </w:r>
          </w:p>
        </w:tc>
        <w:tc>
          <w:tcPr>
            <w:tcW w:w="141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主项名称</w:t>
            </w:r>
          </w:p>
        </w:tc>
        <w:tc>
          <w:tcPr>
            <w:tcW w:w="5697"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建设单位明示或者暗示施工单位使用、采购不符合施工图设计文件要求的墙体材料，使用列入禁止使用目录的技术、工艺、材料和设备的处罚</w:t>
            </w:r>
          </w:p>
        </w:tc>
      </w:tr>
      <w:tr w:rsidR="00BD10C8">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BD10C8" w:rsidRDefault="00BD10C8">
            <w:pPr>
              <w:adjustRightInd w:val="0"/>
              <w:snapToGrid w:val="0"/>
              <w:spacing w:line="280" w:lineRule="exact"/>
              <w:rPr>
                <w:rFonts w:ascii="方正小标宋_GBK" w:eastAsia="方正小标宋_GBK" w:hAnsiTheme="minorEastAsia"/>
                <w:kern w:val="1"/>
                <w:sz w:val="28"/>
                <w:szCs w:val="28"/>
              </w:rPr>
            </w:pPr>
          </w:p>
        </w:tc>
        <w:tc>
          <w:tcPr>
            <w:tcW w:w="1424" w:type="dxa"/>
            <w:vMerge/>
            <w:tcBorders>
              <w:left w:val="single" w:sz="4" w:space="0" w:color="000000"/>
              <w:bottom w:val="single" w:sz="4" w:space="0" w:color="000000"/>
              <w:right w:val="single" w:sz="4" w:space="0" w:color="000000"/>
            </w:tcBorders>
            <w:tcMar>
              <w:top w:w="57" w:type="dxa"/>
              <w:bottom w:w="57" w:type="dxa"/>
            </w:tcMar>
            <w:vAlign w:val="center"/>
          </w:tcPr>
          <w:p w:rsidR="00BD10C8" w:rsidRDefault="00BD10C8">
            <w:pPr>
              <w:adjustRightInd w:val="0"/>
              <w:snapToGrid w:val="0"/>
              <w:spacing w:line="280" w:lineRule="exact"/>
              <w:jc w:val="center"/>
              <w:rPr>
                <w:rFonts w:ascii="方正小标宋_GBK" w:eastAsia="方正小标宋_GBK" w:hAnsiTheme="minorEastAsia"/>
                <w:kern w:val="1"/>
                <w:sz w:val="28"/>
                <w:szCs w:val="28"/>
              </w:rPr>
            </w:pPr>
          </w:p>
        </w:tc>
        <w:tc>
          <w:tcPr>
            <w:tcW w:w="1418" w:type="dxa"/>
            <w:tcBorders>
              <w:top w:val="single" w:sz="4" w:space="0" w:color="000000"/>
              <w:left w:val="single" w:sz="4" w:space="0" w:color="000000"/>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子项名称</w:t>
            </w:r>
          </w:p>
        </w:tc>
        <w:tc>
          <w:tcPr>
            <w:tcW w:w="5697"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BD10C8" w:rsidRDefault="00BD10C8">
            <w:pPr>
              <w:adjustRightInd w:val="0"/>
              <w:snapToGrid w:val="0"/>
              <w:spacing w:line="400" w:lineRule="exact"/>
              <w:ind w:firstLineChars="200" w:firstLine="420"/>
              <w:rPr>
                <w:rFonts w:asciiTheme="minorEastAsia" w:eastAsiaTheme="minorEastAsia" w:hAnsiTheme="minorEastAsia"/>
                <w:kern w:val="1"/>
                <w:sz w:val="21"/>
                <w:szCs w:val="21"/>
              </w:rPr>
            </w:pPr>
          </w:p>
        </w:tc>
      </w:tr>
      <w:tr w:rsidR="00BD10C8">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5</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rPr>
              <w:t>贺州市住房和城乡建设局</w:t>
            </w:r>
          </w:p>
        </w:tc>
      </w:tr>
      <w:tr w:rsidR="00BD10C8">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6</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28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实施主体性质</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法定机关</w:t>
            </w:r>
          </w:p>
        </w:tc>
      </w:tr>
      <w:tr w:rsidR="00BD10C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7</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承办机构</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D10C8" w:rsidRDefault="00BE696F">
            <w:pPr>
              <w:adjustRightInd w:val="0"/>
              <w:snapToGrid w:val="0"/>
              <w:spacing w:line="400" w:lineRule="exact"/>
              <w:ind w:firstLineChars="200" w:firstLine="420"/>
              <w:jc w:val="left"/>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rPr>
              <w:t>贺州市建筑节能办公室</w:t>
            </w:r>
          </w:p>
        </w:tc>
      </w:tr>
      <w:tr w:rsidR="00BD10C8">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8</w:t>
            </w:r>
          </w:p>
        </w:tc>
        <w:tc>
          <w:tcPr>
            <w:tcW w:w="1424" w:type="dxa"/>
            <w:vMerge w:val="restart"/>
            <w:tcBorders>
              <w:top w:val="single" w:sz="4" w:space="0" w:color="000000"/>
              <w:left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咨询及</w:t>
            </w:r>
          </w:p>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监督电话</w:t>
            </w:r>
          </w:p>
        </w:tc>
        <w:tc>
          <w:tcPr>
            <w:tcW w:w="1418"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咨询电话</w:t>
            </w:r>
          </w:p>
        </w:tc>
        <w:tc>
          <w:tcPr>
            <w:tcW w:w="5697"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4-5137851</w:t>
            </w:r>
          </w:p>
        </w:tc>
      </w:tr>
      <w:tr w:rsidR="00BD10C8">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BD10C8" w:rsidRDefault="00BD10C8">
            <w:pPr>
              <w:adjustRightInd w:val="0"/>
              <w:snapToGrid w:val="0"/>
              <w:spacing w:line="300" w:lineRule="exact"/>
              <w:rPr>
                <w:rFonts w:ascii="方正小标宋_GBK" w:eastAsia="方正小标宋_GBK" w:hAnsiTheme="minorEastAsia"/>
                <w:sz w:val="28"/>
                <w:szCs w:val="28"/>
              </w:rPr>
            </w:pPr>
          </w:p>
        </w:tc>
        <w:tc>
          <w:tcPr>
            <w:tcW w:w="1424" w:type="dxa"/>
            <w:vMerge/>
            <w:tcBorders>
              <w:left w:val="single" w:sz="4" w:space="0" w:color="000000"/>
              <w:bottom w:val="single" w:sz="4" w:space="0" w:color="auto"/>
              <w:right w:val="single" w:sz="4" w:space="0" w:color="000000"/>
            </w:tcBorders>
            <w:tcMar>
              <w:top w:w="57" w:type="dxa"/>
              <w:bottom w:w="57" w:type="dxa"/>
            </w:tcMar>
          </w:tcPr>
          <w:p w:rsidR="00BD10C8" w:rsidRDefault="00BD10C8">
            <w:pPr>
              <w:adjustRightInd w:val="0"/>
              <w:snapToGrid w:val="0"/>
              <w:spacing w:line="300" w:lineRule="exact"/>
              <w:jc w:val="center"/>
              <w:rPr>
                <w:rFonts w:ascii="方正小标宋_GBK" w:eastAsia="方正小标宋_GBK" w:hAnsiTheme="minorEastAsia"/>
                <w:sz w:val="28"/>
                <w:szCs w:val="28"/>
              </w:rPr>
            </w:pPr>
          </w:p>
        </w:tc>
        <w:tc>
          <w:tcPr>
            <w:tcW w:w="1418"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监督电话</w:t>
            </w:r>
          </w:p>
        </w:tc>
        <w:tc>
          <w:tcPr>
            <w:tcW w:w="5697"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0774-51378</w:t>
            </w:r>
            <w:r>
              <w:rPr>
                <w:rFonts w:asciiTheme="minorEastAsia" w:eastAsiaTheme="minorEastAsia" w:hAnsiTheme="minorEastAsia" w:hint="eastAsia"/>
                <w:sz w:val="21"/>
                <w:szCs w:val="21"/>
              </w:rPr>
              <w:t>92</w:t>
            </w:r>
          </w:p>
        </w:tc>
      </w:tr>
      <w:tr w:rsidR="00BD10C8">
        <w:trPr>
          <w:trHeight w:val="997"/>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9</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设定依据</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【行政法规】《民用建筑节能条例》（国务院令第</w:t>
            </w:r>
            <w:r>
              <w:rPr>
                <w:rFonts w:asciiTheme="minorEastAsia" w:eastAsiaTheme="minorEastAsia" w:hAnsiTheme="minorEastAsia" w:hint="eastAsia"/>
                <w:sz w:val="21"/>
                <w:szCs w:val="21"/>
              </w:rPr>
              <w:t>530</w:t>
            </w:r>
            <w:r>
              <w:rPr>
                <w:rFonts w:asciiTheme="minorEastAsia" w:eastAsiaTheme="minorEastAsia" w:hAnsiTheme="minorEastAsia" w:hint="eastAsia"/>
                <w:sz w:val="21"/>
                <w:szCs w:val="21"/>
              </w:rPr>
              <w:t>号）第三十七条：违反本条例规定，建设单位有下列行为之一的，由县级以上地方人民政府建设主管部门责令改正，处</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万元以上</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w:t>
            </w:r>
            <w:r>
              <w:rPr>
                <w:rFonts w:asciiTheme="minorEastAsia" w:eastAsiaTheme="minorEastAsia" w:hAnsiTheme="minorEastAsia" w:hint="eastAsia"/>
                <w:sz w:val="21"/>
                <w:szCs w:val="21"/>
              </w:rPr>
              <w:t>的。</w:t>
            </w:r>
          </w:p>
          <w:p w:rsidR="00BD10C8" w:rsidRDefault="00BE696F">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【部门规章】《民用建筑节能管理规定》（建设部令第</w:t>
            </w:r>
            <w:r>
              <w:rPr>
                <w:rFonts w:asciiTheme="minorEastAsia" w:eastAsiaTheme="minorEastAsia" w:hAnsiTheme="minorEastAsia" w:hint="eastAsia"/>
                <w:sz w:val="21"/>
                <w:szCs w:val="21"/>
              </w:rPr>
              <w:t>143</w:t>
            </w:r>
            <w:r>
              <w:rPr>
                <w:rFonts w:asciiTheme="minorEastAsia" w:eastAsiaTheme="minorEastAsia" w:hAnsiTheme="minorEastAsia" w:hint="eastAsia"/>
                <w:sz w:val="21"/>
                <w:szCs w:val="21"/>
              </w:rPr>
              <w:t>号）第二十五条：建设单位未按照建筑节能强制性标准委托设计，擅自修改节能设计文件，明示或暗示设计单位、施工单位违反建筑节能设计强制性标准，降低工程建</w:t>
            </w:r>
            <w:r>
              <w:rPr>
                <w:rFonts w:asciiTheme="minorEastAsia" w:eastAsiaTheme="minorEastAsia" w:hAnsiTheme="minorEastAsia" w:hint="eastAsia"/>
                <w:sz w:val="21"/>
                <w:szCs w:val="21"/>
              </w:rPr>
              <w:lastRenderedPageBreak/>
              <w:t>设质量的，处</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万元以上</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 xml:space="preserve">万元以下的罚款。　</w:t>
            </w:r>
          </w:p>
        </w:tc>
      </w:tr>
      <w:tr w:rsidR="00BD10C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lastRenderedPageBreak/>
              <w:t>10</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实施对象</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明示或者暗示施工单位使用、采购不符合施工图设计文件要求的墙体材料使用列入禁止使用目录的技术、工艺、材料和设备的建设单位</w:t>
            </w:r>
          </w:p>
        </w:tc>
      </w:tr>
      <w:tr w:rsidR="00BD10C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11</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行使层级</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此事项</w:t>
            </w:r>
            <w:r>
              <w:rPr>
                <w:rFonts w:asciiTheme="minorEastAsia" w:eastAsiaTheme="minorEastAsia" w:hAnsiTheme="minorEastAsia" w:hint="eastAsia"/>
                <w:sz w:val="21"/>
                <w:szCs w:val="21"/>
              </w:rPr>
              <w:t>属于</w:t>
            </w:r>
            <w:r>
              <w:rPr>
                <w:rFonts w:asciiTheme="minorEastAsia" w:eastAsiaTheme="minorEastAsia" w:hAnsiTheme="minorEastAsia" w:hint="eastAsia"/>
                <w:sz w:val="21"/>
                <w:szCs w:val="21"/>
              </w:rPr>
              <w:t>自治区、市、县</w:t>
            </w:r>
            <w:r>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级分级管理。</w:t>
            </w:r>
          </w:p>
        </w:tc>
      </w:tr>
      <w:tr w:rsidR="00BD10C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12</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权限划分</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w:t>
            </w:r>
            <w:r>
              <w:rPr>
                <w:rFonts w:asciiTheme="minorEastAsia" w:eastAsiaTheme="minorEastAsia" w:hAnsiTheme="minorEastAsia" w:hint="eastAsia"/>
                <w:sz w:val="21"/>
                <w:szCs w:val="21"/>
              </w:rPr>
              <w:t>《民用建筑节能条例》第三十七条：违反本条例规定，建设单位有下列行为之一的，由县级以上地方人民政府建设主管部门责令改正，处</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万元以上</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《民用建筑节能管理规定》第二</w:t>
            </w:r>
            <w:r>
              <w:rPr>
                <w:rFonts w:asciiTheme="minorEastAsia" w:eastAsiaTheme="minorEastAsia" w:hAnsiTheme="minorEastAsia" w:hint="eastAsia"/>
                <w:sz w:val="21"/>
                <w:szCs w:val="21"/>
              </w:rPr>
              <w:t>十五条：建设单位未按照建筑节能强制性标准委托设计，擅自修改节能设计文件，明示或暗示设计单位、施工单位违反建筑节能设计强制性标准，降低工程建设质量的，处</w:t>
            </w: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万元以上</w:t>
            </w:r>
            <w:r>
              <w:rPr>
                <w:rFonts w:asciiTheme="minorEastAsia" w:eastAsiaTheme="minorEastAsia" w:hAnsiTheme="minorEastAsia" w:hint="eastAsia"/>
                <w:sz w:val="21"/>
                <w:szCs w:val="21"/>
              </w:rPr>
              <w:t>50</w:t>
            </w:r>
            <w:r>
              <w:rPr>
                <w:rFonts w:asciiTheme="minorEastAsia" w:eastAsiaTheme="minorEastAsia" w:hAnsiTheme="minorEastAsia" w:hint="eastAsia"/>
                <w:sz w:val="21"/>
                <w:szCs w:val="21"/>
              </w:rPr>
              <w:t>万元以下的罚款。</w:t>
            </w:r>
          </w:p>
        </w:tc>
      </w:tr>
      <w:tr w:rsidR="00BD10C8">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13</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行使内容</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按照属地管理原则，市本级对本辖区范围内</w:t>
            </w:r>
            <w:r>
              <w:rPr>
                <w:rFonts w:asciiTheme="minorEastAsia" w:eastAsiaTheme="minorEastAsia" w:hAnsiTheme="minorEastAsia" w:hint="eastAsia"/>
                <w:sz w:val="21"/>
                <w:szCs w:val="21"/>
              </w:rPr>
              <w:t>明示或者暗示施工单位使用、采购不符合施工图设计文件要求的墙体材料，使用列入禁止使用目录的技术、工艺、材料和设备</w:t>
            </w:r>
            <w:r>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建设单位</w:t>
            </w:r>
            <w:r>
              <w:rPr>
                <w:rFonts w:asciiTheme="minorEastAsia" w:eastAsiaTheme="minorEastAsia" w:hAnsiTheme="minorEastAsia" w:hint="eastAsia"/>
                <w:sz w:val="21"/>
                <w:szCs w:val="21"/>
              </w:rPr>
              <w:t>进行处罚</w:t>
            </w:r>
            <w:r>
              <w:rPr>
                <w:rFonts w:asciiTheme="minorEastAsia" w:eastAsiaTheme="minorEastAsia" w:hAnsiTheme="minorEastAsia" w:hint="eastAsia"/>
                <w:sz w:val="21"/>
                <w:szCs w:val="21"/>
              </w:rPr>
              <w:t>。</w:t>
            </w:r>
          </w:p>
        </w:tc>
      </w:tr>
      <w:tr w:rsidR="00BD10C8">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14</w:t>
            </w:r>
          </w:p>
        </w:tc>
        <w:tc>
          <w:tcPr>
            <w:tcW w:w="1424"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法定办结</w:t>
            </w:r>
          </w:p>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时限</w:t>
            </w:r>
          </w:p>
        </w:tc>
        <w:tc>
          <w:tcPr>
            <w:tcW w:w="7115"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60</w:t>
            </w:r>
            <w:r>
              <w:rPr>
                <w:rFonts w:asciiTheme="minorEastAsia" w:eastAsiaTheme="minorEastAsia" w:hAnsiTheme="minorEastAsia" w:hint="eastAsia"/>
                <w:sz w:val="21"/>
                <w:szCs w:val="21"/>
              </w:rPr>
              <w:t>日。经本机关负责人批准，可以延长</w:t>
            </w:r>
            <w:r>
              <w:rPr>
                <w:rFonts w:asciiTheme="minorEastAsia" w:eastAsiaTheme="minorEastAsia" w:hAnsiTheme="minorEastAsia"/>
                <w:sz w:val="21"/>
                <w:szCs w:val="21"/>
              </w:rPr>
              <w:t>30</w:t>
            </w:r>
            <w:r>
              <w:rPr>
                <w:rFonts w:asciiTheme="minorEastAsia" w:eastAsiaTheme="minorEastAsia" w:hAnsiTheme="minorEastAsia" w:hint="eastAsia"/>
                <w:sz w:val="21"/>
                <w:szCs w:val="21"/>
              </w:rPr>
              <w:t>日。需要继续延长的，报上一级行政主管机关批准。</w:t>
            </w:r>
          </w:p>
        </w:tc>
      </w:tr>
      <w:tr w:rsidR="00BD10C8">
        <w:trPr>
          <w:trHeight w:val="90"/>
          <w:jc w:val="center"/>
        </w:trPr>
        <w:tc>
          <w:tcPr>
            <w:tcW w:w="533" w:type="dxa"/>
            <w:tcBorders>
              <w:top w:val="single" w:sz="4" w:space="0" w:color="auto"/>
              <w:left w:val="single" w:sz="4" w:space="0" w:color="000000"/>
              <w:bottom w:val="single" w:sz="4" w:space="0" w:color="auto"/>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15</w:t>
            </w:r>
          </w:p>
        </w:tc>
        <w:tc>
          <w:tcPr>
            <w:tcW w:w="1424" w:type="dxa"/>
            <w:tcBorders>
              <w:top w:val="single" w:sz="4" w:space="0" w:color="auto"/>
              <w:left w:val="single" w:sz="4" w:space="0" w:color="000000"/>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处罚流程</w:t>
            </w:r>
          </w:p>
        </w:tc>
        <w:tc>
          <w:tcPr>
            <w:tcW w:w="711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kern w:val="1"/>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p>
        </w:tc>
      </w:tr>
      <w:tr w:rsidR="00BD10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16</w:t>
            </w:r>
          </w:p>
        </w:tc>
        <w:tc>
          <w:tcPr>
            <w:tcW w:w="14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结果名称</w:t>
            </w:r>
          </w:p>
        </w:tc>
        <w:tc>
          <w:tcPr>
            <w:tcW w:w="7115" w:type="dxa"/>
            <w:gridSpan w:val="2"/>
            <w:tcBorders>
              <w:top w:val="single" w:sz="4" w:space="0" w:color="auto"/>
              <w:left w:val="single" w:sz="4" w:space="0" w:color="auto"/>
              <w:bottom w:val="single" w:sz="4" w:space="0" w:color="auto"/>
              <w:right w:val="single" w:sz="4" w:space="0" w:color="000000"/>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行政处罚决定书。</w:t>
            </w:r>
          </w:p>
        </w:tc>
      </w:tr>
      <w:tr w:rsidR="00BD10C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17</w:t>
            </w:r>
          </w:p>
        </w:tc>
        <w:tc>
          <w:tcPr>
            <w:tcW w:w="14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运行系统</w:t>
            </w:r>
          </w:p>
        </w:tc>
        <w:tc>
          <w:tcPr>
            <w:tcW w:w="711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BE696F">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E696F" w:rsidRDefault="00BE696F" w:rsidP="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18</w:t>
            </w:r>
          </w:p>
        </w:tc>
        <w:tc>
          <w:tcPr>
            <w:tcW w:w="1424"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BE696F" w:rsidRDefault="00BE696F" w:rsidP="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责任事项</w:t>
            </w:r>
          </w:p>
        </w:tc>
        <w:tc>
          <w:tcPr>
            <w:tcW w:w="7115"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BE696F" w:rsidRDefault="00BE696F" w:rsidP="00BE696F">
            <w:pPr>
              <w:spacing w:line="400" w:lineRule="exact"/>
              <w:ind w:firstLineChars="200" w:firstLine="420"/>
              <w:jc w:val="left"/>
              <w:rPr>
                <w:rFonts w:ascii="宋体" w:hAnsi="宋体" w:cs="宋体"/>
                <w:sz w:val="21"/>
                <w:szCs w:val="21"/>
              </w:rPr>
            </w:pPr>
            <w:r>
              <w:rPr>
                <w:rFonts w:ascii="宋体" w:hAnsi="宋体" w:cs="宋体" w:hint="eastAsia"/>
                <w:sz w:val="21"/>
                <w:szCs w:val="21"/>
              </w:rPr>
              <w:t xml:space="preserve">1.立案责任：通过日常监管、群众举投诉、举报或其他方式发现违法违规的行为，进行监督检查和核实，并决定是否立案受理。 </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2.调查取证责任：对立案的案件，及时组织调查取证，通过搜集证据、现场了解核实情况等进行调查，并制作笔录。</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材料核实，现场核实，调查取证。 </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3.复核审查责任：对案件违法事实、证据、调查取证程序、法律适用、</w:t>
            </w:r>
            <w:r>
              <w:rPr>
                <w:rFonts w:ascii="宋体" w:hAnsi="宋体" w:cs="宋体" w:hint="eastAsia"/>
                <w:sz w:val="21"/>
                <w:szCs w:val="21"/>
              </w:rPr>
              <w:lastRenderedPageBreak/>
              <w:t>处罚种类和幅度、当事人陈述和申辩理由等方面进行审查，提出处理意见。</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4.告知责任：作出行政处罚决定前，制作《行政处罚告知书》送达当事人，告知违法事实、处罚依据和拟处罚意见，以及当事人享有的陈述、申辩等权利。符合听证规定的，制作并送达《行政处罚听证告知书》。</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5.决定责任：作出处罚决定，制作行政处罚决定书，载明行政处罚告知、当事人陈述申辩或者听证情况等内容。</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6.送达责任：按有关规定将行政处罚决定书送达当事人。  </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7.执行责任：依照生效的行政处罚决定，自觉履行或强制执行。</w:t>
            </w:r>
          </w:p>
          <w:p w:rsidR="00BE696F" w:rsidRDefault="00BE696F" w:rsidP="00BE696F">
            <w:pPr>
              <w:spacing w:line="400" w:lineRule="exact"/>
              <w:jc w:val="left"/>
              <w:rPr>
                <w:rFonts w:ascii="宋体" w:hAnsi="宋体" w:cs="宋体" w:hint="eastAsia"/>
                <w:sz w:val="21"/>
                <w:szCs w:val="21"/>
              </w:rPr>
            </w:pPr>
            <w:r>
              <w:rPr>
                <w:rFonts w:ascii="宋体" w:hAnsi="宋体" w:cs="宋体" w:hint="eastAsia"/>
                <w:sz w:val="21"/>
                <w:szCs w:val="21"/>
              </w:rPr>
              <w:t xml:space="preserve">    8.监督责任：对处罚决定执行情况进行监督检查。</w:t>
            </w:r>
          </w:p>
          <w:p w:rsidR="00BE696F" w:rsidRDefault="00BE696F" w:rsidP="00BE696F">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9.其他法律法规规章文件规定应履行的责任。</w:t>
            </w:r>
          </w:p>
        </w:tc>
      </w:tr>
      <w:tr w:rsidR="00BE696F">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E696F" w:rsidRDefault="00BE696F" w:rsidP="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lastRenderedPageBreak/>
              <w:t>19</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E696F" w:rsidRDefault="00BE696F" w:rsidP="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追责情形</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E696F" w:rsidRDefault="00BE696F" w:rsidP="00BE696F">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因不履行或不正确履行行政职责，有下列情形的行政机关及相关工作人员应承担相应的责任：</w:t>
            </w:r>
          </w:p>
          <w:p w:rsidR="00BE696F" w:rsidRDefault="00BE696F" w:rsidP="00BE696F">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1. 发现违法行为不予查处的；</w:t>
            </w:r>
          </w:p>
          <w:p w:rsidR="00BE696F" w:rsidRDefault="00BE696F" w:rsidP="00BE696F">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2. 违反法定处罚程序的；</w:t>
            </w:r>
          </w:p>
          <w:p w:rsidR="00BE696F" w:rsidRDefault="00BE696F" w:rsidP="00BE696F">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3. 利用职务便利索取或者收受当事人财物徇私舞弊袒护当事人的；</w:t>
            </w:r>
          </w:p>
          <w:p w:rsidR="00BE696F" w:rsidRDefault="00BE696F" w:rsidP="00BE696F">
            <w:pPr>
              <w:spacing w:line="400" w:lineRule="exact"/>
              <w:ind w:firstLineChars="200" w:firstLine="420"/>
              <w:jc w:val="left"/>
              <w:rPr>
                <w:rFonts w:ascii="宋体" w:hAnsi="宋体" w:cs="宋体" w:hint="eastAsia"/>
                <w:sz w:val="21"/>
                <w:szCs w:val="21"/>
              </w:rPr>
            </w:pPr>
            <w:r>
              <w:rPr>
                <w:rFonts w:ascii="宋体" w:hAnsi="宋体" w:cs="宋体" w:hint="eastAsia"/>
                <w:sz w:val="21"/>
                <w:szCs w:val="21"/>
              </w:rPr>
              <w:t>4. 擅自改变行政处罚种类、幅度的；</w:t>
            </w:r>
          </w:p>
          <w:p w:rsidR="00BE696F" w:rsidRDefault="00BE696F" w:rsidP="00BE696F">
            <w:pPr>
              <w:adjustRightInd w:val="0"/>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5. 其他违反法律法规规定的行为。</w:t>
            </w:r>
          </w:p>
        </w:tc>
      </w:tr>
      <w:tr w:rsidR="00BD10C8">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20</w:t>
            </w:r>
          </w:p>
        </w:tc>
        <w:tc>
          <w:tcPr>
            <w:tcW w:w="142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BD10C8" w:rsidRDefault="00BE696F">
            <w:pPr>
              <w:adjustRightInd w:val="0"/>
              <w:snapToGrid w:val="0"/>
              <w:spacing w:line="300" w:lineRule="exact"/>
              <w:jc w:val="center"/>
              <w:rPr>
                <w:rFonts w:ascii="方正小标宋_GBK" w:eastAsia="方正小标宋_GBK" w:hAnsiTheme="minorEastAsia"/>
                <w:kern w:val="1"/>
                <w:sz w:val="28"/>
                <w:szCs w:val="28"/>
              </w:rPr>
            </w:pPr>
            <w:r>
              <w:rPr>
                <w:rFonts w:ascii="方正小标宋_GBK" w:eastAsia="方正小标宋_GBK" w:hAnsiTheme="minorEastAsia" w:hint="eastAsia"/>
                <w:kern w:val="1"/>
                <w:sz w:val="28"/>
                <w:szCs w:val="28"/>
              </w:rPr>
              <w:t>备注</w:t>
            </w:r>
          </w:p>
        </w:tc>
        <w:tc>
          <w:tcPr>
            <w:tcW w:w="7115"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BD10C8" w:rsidRDefault="00BD10C8">
            <w:pPr>
              <w:adjustRightInd w:val="0"/>
              <w:snapToGrid w:val="0"/>
              <w:spacing w:line="300" w:lineRule="exact"/>
              <w:ind w:firstLineChars="200" w:firstLine="420"/>
              <w:rPr>
                <w:rFonts w:asciiTheme="minorEastAsia" w:eastAsiaTheme="minorEastAsia" w:hAnsiTheme="minorEastAsia"/>
                <w:sz w:val="21"/>
                <w:szCs w:val="21"/>
              </w:rPr>
            </w:pPr>
          </w:p>
        </w:tc>
      </w:tr>
    </w:tbl>
    <w:p w:rsidR="00BD10C8" w:rsidRDefault="00BD10C8">
      <w:pPr>
        <w:rPr>
          <w:rFonts w:asciiTheme="minorEastAsia" w:eastAsiaTheme="minorEastAsia" w:hAnsiTheme="minorEastAsia"/>
        </w:rPr>
      </w:pPr>
    </w:p>
    <w:p w:rsidR="00BD10C8" w:rsidRDefault="00BD10C8">
      <w:pPr>
        <w:rPr>
          <w:rFonts w:asciiTheme="minorEastAsia" w:eastAsiaTheme="minorEastAsia" w:hAnsiTheme="minorEastAsia"/>
        </w:rPr>
      </w:pPr>
    </w:p>
    <w:p w:rsidR="00BD10C8" w:rsidRDefault="00BD10C8">
      <w:pPr>
        <w:rPr>
          <w:rFonts w:asciiTheme="minorEastAsia" w:eastAsiaTheme="minorEastAsia" w:hAnsiTheme="minorEastAsia"/>
        </w:rPr>
      </w:pPr>
    </w:p>
    <w:p w:rsidR="00BD10C8" w:rsidRDefault="00BD10C8">
      <w:pPr>
        <w:rPr>
          <w:rFonts w:asciiTheme="minorEastAsia" w:eastAsiaTheme="minorEastAsia" w:hAnsiTheme="minorEastAsia"/>
        </w:rPr>
      </w:pPr>
    </w:p>
    <w:p w:rsidR="00BE696F" w:rsidRDefault="00BE696F">
      <w:pPr>
        <w:rPr>
          <w:rFonts w:asciiTheme="minorEastAsia" w:eastAsiaTheme="minorEastAsia" w:hAnsiTheme="minorEastAsia"/>
        </w:rPr>
      </w:pPr>
    </w:p>
    <w:p w:rsidR="00BE696F" w:rsidRDefault="00BE696F">
      <w:pPr>
        <w:rPr>
          <w:rFonts w:asciiTheme="minorEastAsia" w:eastAsiaTheme="minorEastAsia" w:hAnsiTheme="minorEastAsia"/>
        </w:rPr>
      </w:pPr>
    </w:p>
    <w:p w:rsidR="00BE696F" w:rsidRDefault="00BE696F">
      <w:pPr>
        <w:rPr>
          <w:rFonts w:asciiTheme="minorEastAsia" w:eastAsiaTheme="minorEastAsia" w:hAnsiTheme="minorEastAsia"/>
        </w:rPr>
      </w:pPr>
    </w:p>
    <w:p w:rsidR="00BE696F" w:rsidRDefault="00BE696F">
      <w:pPr>
        <w:rPr>
          <w:rFonts w:asciiTheme="minorEastAsia" w:eastAsiaTheme="minorEastAsia" w:hAnsiTheme="minorEastAsia"/>
        </w:rPr>
      </w:pPr>
    </w:p>
    <w:p w:rsidR="00BE696F" w:rsidRDefault="00BE696F">
      <w:pPr>
        <w:rPr>
          <w:rFonts w:asciiTheme="minorEastAsia" w:eastAsiaTheme="minorEastAsia" w:hAnsiTheme="minorEastAsia" w:hint="eastAsia"/>
        </w:rPr>
      </w:pPr>
      <w:bookmarkStart w:id="0" w:name="_GoBack"/>
      <w:bookmarkEnd w:id="0"/>
    </w:p>
    <w:p w:rsidR="00BD10C8" w:rsidRDefault="00BE696F">
      <w:pPr>
        <w:adjustRightInd w:val="0"/>
        <w:snapToGrid w:val="0"/>
        <w:spacing w:line="590" w:lineRule="exact"/>
        <w:jc w:val="center"/>
        <w:rPr>
          <w:rFonts w:ascii="方正小标宋_GBK" w:eastAsia="方正小标宋_GBK" w:hAnsiTheme="minorEastAsia"/>
          <w:bCs/>
          <w:sz w:val="44"/>
          <w:szCs w:val="44"/>
          <w:shd w:val="clear" w:color="auto" w:fill="FFFFFF"/>
        </w:rPr>
      </w:pPr>
      <w:r>
        <w:rPr>
          <w:rFonts w:ascii="方正小标宋_GBK" w:eastAsia="方正小标宋_GBK" w:hAnsiTheme="minorEastAsia" w:hint="eastAsia"/>
          <w:bCs/>
          <w:sz w:val="44"/>
          <w:szCs w:val="44"/>
          <w:shd w:val="clear" w:color="auto" w:fill="FFFFFF"/>
        </w:rPr>
        <w:lastRenderedPageBreak/>
        <w:t>廉政风险点</w:t>
      </w:r>
    </w:p>
    <w:p w:rsidR="00BD10C8" w:rsidRDefault="00BD10C8">
      <w:pPr>
        <w:adjustRightInd w:val="0"/>
        <w:snapToGrid w:val="0"/>
        <w:spacing w:line="590" w:lineRule="exact"/>
        <w:jc w:val="center"/>
        <w:rPr>
          <w:rFonts w:asciiTheme="minorEastAsia" w:eastAsiaTheme="minorEastAsia" w:hAnsiTheme="minorEastAsia"/>
          <w:bCs/>
          <w:sz w:val="44"/>
          <w:szCs w:val="44"/>
          <w:shd w:val="clear" w:color="auto" w:fill="FFFFFF"/>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3693"/>
        <w:gridCol w:w="521"/>
        <w:gridCol w:w="3688"/>
        <w:gridCol w:w="1064"/>
      </w:tblGrid>
      <w:tr w:rsidR="00BD10C8">
        <w:trPr>
          <w:trHeight w:val="340"/>
          <w:jc w:val="center"/>
        </w:trPr>
        <w:tc>
          <w:tcPr>
            <w:tcW w:w="12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风险点</w:t>
            </w:r>
          </w:p>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数量</w:t>
            </w:r>
          </w:p>
        </w:tc>
        <w:tc>
          <w:tcPr>
            <w:tcW w:w="3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表现形式</w:t>
            </w:r>
          </w:p>
        </w:tc>
        <w:tc>
          <w:tcPr>
            <w:tcW w:w="5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等级</w:t>
            </w:r>
          </w:p>
        </w:tc>
        <w:tc>
          <w:tcPr>
            <w:tcW w:w="3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方正小标宋_GBK" w:eastAsia="方正小标宋_GBK" w:hAnsiTheme="minorEastAsia"/>
                <w:bCs/>
                <w:sz w:val="28"/>
                <w:szCs w:val="28"/>
              </w:rPr>
            </w:pPr>
            <w:r>
              <w:rPr>
                <w:rFonts w:ascii="方正小标宋_GBK" w:eastAsia="方正小标宋_GBK" w:hAnsiTheme="minorEastAsia" w:hint="eastAsia"/>
                <w:bCs/>
                <w:sz w:val="28"/>
                <w:szCs w:val="28"/>
              </w:rPr>
              <w:t>责任人</w:t>
            </w:r>
          </w:p>
        </w:tc>
      </w:tr>
      <w:tr w:rsidR="00BD10C8">
        <w:trPr>
          <w:trHeight w:val="340"/>
          <w:jc w:val="center"/>
        </w:trPr>
        <w:tc>
          <w:tcPr>
            <w:tcW w:w="12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30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4</w:t>
            </w:r>
          </w:p>
        </w:tc>
        <w:tc>
          <w:tcPr>
            <w:tcW w:w="3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受理立案环节：未经批准擅自决定受理或立案；收受好处，徇私舞弊，应立案不立案；玩忽职守，不能立案的立案；超越职权，擅自销案等。</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严格执行《行政处罚法》等规定。建立查处案件台账，定期进行检查；严格按照行政处罚事项受理、立案的有关规定办理；严格按照法规程序进行监督。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BD10C8">
        <w:trPr>
          <w:trHeight w:val="340"/>
          <w:jc w:val="center"/>
        </w:trPr>
        <w:tc>
          <w:tcPr>
            <w:tcW w:w="124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10C8" w:rsidRDefault="00BD10C8">
            <w:pPr>
              <w:adjustRightInd w:val="0"/>
              <w:snapToGrid w:val="0"/>
              <w:spacing w:line="300" w:lineRule="exact"/>
              <w:jc w:val="center"/>
              <w:rPr>
                <w:rFonts w:asciiTheme="minorEastAsia" w:eastAsiaTheme="minorEastAsia" w:hAnsiTheme="minorEastAsia"/>
                <w:sz w:val="21"/>
                <w:szCs w:val="21"/>
              </w:rPr>
            </w:pPr>
          </w:p>
        </w:tc>
        <w:tc>
          <w:tcPr>
            <w:tcW w:w="3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调查取证环节：无故拖延案件调查取证；违反办案程序，在调查或者进行检查时，执法人员少于两人，没有向当事人或者有关人员出示证件，不履行告知、回避义务；利用职务之便向行政相对人索取、收受贿赂，谋取不正当利益。</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cs="宋体"/>
                <w:sz w:val="21"/>
                <w:szCs w:val="21"/>
              </w:rPr>
            </w:pPr>
            <w:r>
              <w:rPr>
                <w:rFonts w:asciiTheme="minorEastAsia" w:eastAsiaTheme="minorEastAsia" w:hAnsiTheme="minorEastAsia" w:hint="eastAsia"/>
                <w:sz w:val="21"/>
                <w:szCs w:val="21"/>
              </w:rPr>
              <w:t>严格依照民政法律法规规章办理案件。严格按法定程序进行调查取证；建立问责机制，对违反规定的人员严肃处理。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承办机构负责人和办案人员</w:t>
            </w:r>
          </w:p>
        </w:tc>
      </w:tr>
      <w:tr w:rsidR="00BD10C8">
        <w:trPr>
          <w:trHeight w:val="340"/>
          <w:jc w:val="center"/>
        </w:trPr>
        <w:tc>
          <w:tcPr>
            <w:tcW w:w="124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10C8" w:rsidRDefault="00BD10C8">
            <w:pPr>
              <w:adjustRightInd w:val="0"/>
              <w:snapToGrid w:val="0"/>
              <w:spacing w:line="300" w:lineRule="exact"/>
              <w:jc w:val="center"/>
              <w:rPr>
                <w:rFonts w:asciiTheme="minorEastAsia" w:eastAsiaTheme="minorEastAsia" w:hAnsiTheme="minorEastAsia"/>
                <w:sz w:val="21"/>
                <w:szCs w:val="21"/>
              </w:rPr>
            </w:pPr>
          </w:p>
        </w:tc>
        <w:tc>
          <w:tcPr>
            <w:tcW w:w="3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审核决定环节：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5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高</w:t>
            </w:r>
          </w:p>
        </w:tc>
        <w:tc>
          <w:tcPr>
            <w:tcW w:w="3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坚持以事实为依据，以法律为准绳的原则，听取当事人的陈述和申辩；严格层级审批制度，认真审核；坚持处罚意见承办案件科室集体合议制度，坚持少数服从多数的原则；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对情节复杂或者重大违法行为给予行政处罚的，民政局负责人应当集体讨论决定；</w:t>
            </w:r>
            <w:r>
              <w:rPr>
                <w:rFonts w:asciiTheme="minorEastAsia" w:eastAsiaTheme="minorEastAsia" w:hAnsiTheme="minorEastAsia" w:hint="eastAsia"/>
                <w:sz w:val="21"/>
                <w:szCs w:val="21"/>
              </w:rPr>
              <w:t>严格按照法定成程序，作出公正的处罚决定。对案卷进行抽查评查，加强对处罚实施过程的监督，加强政务公开。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承办机构负责人</w:t>
            </w:r>
            <w:r>
              <w:rPr>
                <w:rFonts w:asciiTheme="minorEastAsia" w:eastAsiaTheme="minorEastAsia" w:hAnsiTheme="minorEastAsia"/>
                <w:sz w:val="21"/>
                <w:szCs w:val="21"/>
              </w:rPr>
              <w:t xml:space="preserve"> </w:t>
            </w:r>
          </w:p>
        </w:tc>
      </w:tr>
      <w:tr w:rsidR="00BD10C8">
        <w:trPr>
          <w:trHeight w:val="340"/>
          <w:jc w:val="center"/>
        </w:trPr>
        <w:tc>
          <w:tcPr>
            <w:tcW w:w="124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10C8" w:rsidRDefault="00BD10C8">
            <w:pPr>
              <w:adjustRightInd w:val="0"/>
              <w:snapToGrid w:val="0"/>
              <w:spacing w:line="300" w:lineRule="exact"/>
              <w:jc w:val="center"/>
              <w:rPr>
                <w:rFonts w:asciiTheme="minorEastAsia" w:eastAsiaTheme="minorEastAsia" w:hAnsiTheme="minorEastAsia"/>
                <w:sz w:val="21"/>
                <w:szCs w:val="21"/>
              </w:rPr>
            </w:pPr>
          </w:p>
        </w:tc>
        <w:tc>
          <w:tcPr>
            <w:tcW w:w="3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送达执行环节：未按规定送达；或者未对相关社会组织执行行政处罚决定情况进行监督检查。</w:t>
            </w:r>
            <w:r>
              <w:rPr>
                <w:rFonts w:asciiTheme="minorEastAsia" w:eastAsiaTheme="minorEastAsia" w:hAnsiTheme="minorEastAsia" w:hint="eastAsia"/>
                <w:sz w:val="21"/>
                <w:szCs w:val="21"/>
              </w:rPr>
              <w:t xml:space="preserve"> </w:t>
            </w:r>
          </w:p>
        </w:tc>
        <w:tc>
          <w:tcPr>
            <w:tcW w:w="5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中</w:t>
            </w:r>
          </w:p>
        </w:tc>
        <w:tc>
          <w:tcPr>
            <w:tcW w:w="36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严格按照《行政处罚法》的规定送达和执行。</w:t>
            </w:r>
            <w:r>
              <w:rPr>
                <w:rFonts w:asciiTheme="minorEastAsia" w:eastAsiaTheme="minorEastAsia" w:hAnsiTheme="minorEastAsia"/>
                <w:sz w:val="21"/>
                <w:szCs w:val="21"/>
              </w:rPr>
              <w:t xml:space="preserve"> </w:t>
            </w:r>
          </w:p>
        </w:tc>
        <w:tc>
          <w:tcPr>
            <w:tcW w:w="10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10C8" w:rsidRDefault="00BE696F">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承办机构办案人员</w:t>
            </w:r>
          </w:p>
        </w:tc>
      </w:tr>
    </w:tbl>
    <w:p w:rsidR="00BD10C8" w:rsidRDefault="00BE696F">
      <w:pPr>
        <w:adjustRightInd w:val="0"/>
        <w:snapToGrid w:val="0"/>
        <w:spacing w:line="560" w:lineRule="exact"/>
        <w:ind w:leftChars="-100" w:left="-286" w:rightChars="-150" w:right="-450" w:hanging="14"/>
        <w:rPr>
          <w:rFonts w:asciiTheme="minorEastAsia" w:eastAsiaTheme="minorEastAsia" w:hAnsiTheme="minorEastAsia"/>
          <w:snapToGrid w:val="0"/>
          <w:color w:val="000000"/>
          <w:sz w:val="32"/>
          <w:szCs w:val="32"/>
        </w:rPr>
      </w:pPr>
      <w:r>
        <w:rPr>
          <w:rFonts w:ascii="仿宋" w:eastAsia="仿宋" w:hAnsi="仿宋" w:cs="仿宋" w:hint="eastAsia"/>
          <w:snapToGrid w:val="0"/>
          <w:color w:val="000000"/>
          <w:sz w:val="32"/>
          <w:szCs w:val="32"/>
        </w:rPr>
        <w:t>附件：</w:t>
      </w:r>
      <w:r>
        <w:rPr>
          <w:rFonts w:ascii="仿宋" w:eastAsia="仿宋" w:hAnsi="仿宋" w:cs="仿宋" w:hint="eastAsia"/>
          <w:bCs/>
          <w:sz w:val="32"/>
          <w:szCs w:val="32"/>
          <w:shd w:val="clear" w:color="auto" w:fill="FFFFFF"/>
        </w:rPr>
        <w:t>建设单位明示或者暗示施工单位使用、采购不符合施工图设计文件要求的墙体材料，使用列入禁止使用目录的技术、工艺、材料和设备的处罚流程图</w:t>
      </w:r>
      <w:r>
        <w:rPr>
          <w:rFonts w:asciiTheme="minorEastAsia" w:eastAsiaTheme="minorEastAsia" w:hAnsiTheme="minorEastAsia"/>
          <w:snapToGrid w:val="0"/>
          <w:color w:val="000000"/>
          <w:sz w:val="32"/>
          <w:szCs w:val="32"/>
        </w:rPr>
        <w:br w:type="page"/>
      </w:r>
    </w:p>
    <w:p w:rsidR="00BD10C8" w:rsidRDefault="00BE696F">
      <w:pPr>
        <w:adjustRightInd w:val="0"/>
        <w:snapToGrid w:val="0"/>
        <w:spacing w:line="590" w:lineRule="exact"/>
        <w:rPr>
          <w:rFonts w:ascii="黑体" w:eastAsia="黑体" w:hAnsiTheme="minorEastAsia"/>
          <w:sz w:val="32"/>
          <w:szCs w:val="32"/>
        </w:rPr>
      </w:pPr>
      <w:r>
        <w:rPr>
          <w:rFonts w:ascii="黑体" w:eastAsia="黑体" w:hAnsiTheme="minorEastAsia" w:hint="eastAsia"/>
          <w:sz w:val="32"/>
          <w:szCs w:val="32"/>
        </w:rPr>
        <w:lastRenderedPageBreak/>
        <w:t>附件</w:t>
      </w:r>
    </w:p>
    <w:p w:rsidR="00BD10C8" w:rsidRDefault="00BD10C8">
      <w:pPr>
        <w:adjustRightInd w:val="0"/>
        <w:snapToGrid w:val="0"/>
        <w:spacing w:line="590" w:lineRule="exact"/>
        <w:rPr>
          <w:rFonts w:ascii="黑体" w:eastAsia="黑体" w:hAnsiTheme="minorEastAsia"/>
          <w:sz w:val="32"/>
          <w:szCs w:val="32"/>
        </w:rPr>
      </w:pPr>
    </w:p>
    <w:p w:rsidR="00BD10C8" w:rsidRDefault="00BE696F">
      <w:pPr>
        <w:adjustRightInd w:val="0"/>
        <w:snapToGrid w:val="0"/>
        <w:spacing w:line="590" w:lineRule="exact"/>
        <w:jc w:val="center"/>
        <w:rPr>
          <w:rFonts w:ascii="方正小标宋_GBK" w:eastAsia="方正小标宋_GBK" w:hAnsiTheme="minorEastAsia"/>
          <w:snapToGrid w:val="0"/>
          <w:color w:val="000000"/>
          <w:sz w:val="44"/>
          <w:szCs w:val="44"/>
        </w:rPr>
      </w:pPr>
      <w:r>
        <w:rPr>
          <w:rFonts w:ascii="方正小标宋_GBK" w:eastAsia="方正小标宋_GBK" w:hAnsiTheme="minorEastAsia" w:hint="eastAsia"/>
          <w:bCs/>
          <w:sz w:val="44"/>
          <w:szCs w:val="44"/>
          <w:shd w:val="clear" w:color="auto" w:fill="FFFFFF"/>
        </w:rPr>
        <w:t>建设单位明示或者暗示施工单位使用、采购不符合施工图设计文件要求的墙体材料，使用列入禁止使用目录的技术、工艺、材料和设备的处罚流程图</w:t>
      </w:r>
    </w:p>
    <w:p w:rsidR="00BD10C8" w:rsidRDefault="00BD10C8">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BD10C8" w:rsidRDefault="00BE696F">
      <w:pPr>
        <w:tabs>
          <w:tab w:val="left" w:pos="0"/>
        </w:tabs>
        <w:adjustRightInd w:val="0"/>
        <w:snapToGrid w:val="0"/>
        <w:spacing w:line="590" w:lineRule="exact"/>
        <w:rPr>
          <w:rFonts w:asciiTheme="minorEastAsia" w:eastAsiaTheme="minorEastAsia" w:hAnsiTheme="minorEastAsia"/>
          <w:snapToGrid w:val="0"/>
          <w:color w:val="000000"/>
          <w:sz w:val="32"/>
          <w:szCs w:val="32"/>
        </w:rPr>
      </w:pPr>
      <w:r>
        <w:rPr>
          <w:rFonts w:asciiTheme="minorEastAsia" w:eastAsiaTheme="minorEastAsia" w:hAnsiTheme="minorEastAsia"/>
        </w:rPr>
        <w:pict>
          <v:line id="直线 20" o:spid="_x0000_s1046" style="position:absolute;left:0;text-align:left;flip:x;z-index:251680768;mso-width-relative:page;mso-height-relative:page" from="125.4pt,257.45pt" to="126.05pt,288.45pt" strokeweight="1pt"/>
        </w:pict>
      </w:r>
      <w:r>
        <w:rPr>
          <w:rFonts w:asciiTheme="minorEastAsia" w:eastAsiaTheme="minorEastAsia" w:hAnsiTheme="minorEastAsia"/>
        </w:rPr>
        <w:pict>
          <v:line id="_x0000_s1045" style="position:absolute;left:0;text-align:left;z-index:251679744;mso-width-relative:page;mso-height-relative:page" from="174.8pt,242.05pt" to="236.6pt,242.05pt" strokeweight="1pt">
            <v:stroke endarrow="block"/>
          </v:line>
        </w:pict>
      </w:r>
      <w:r>
        <w:rPr>
          <w:rFonts w:asciiTheme="minorEastAsia" w:eastAsiaTheme="minorEastAsia" w:hAnsiTheme="minorEastAsia"/>
        </w:rPr>
        <w:pict>
          <v:line id="直线 15" o:spid="_x0000_s1044" style="position:absolute;left:0;text-align:left;z-index:251678720;mso-width-relative:page;mso-height-relative:page" from="317.95pt,145.2pt" to="318pt,166.35pt" filled="t" strokeweight="1pt">
            <v:stroke endarrow="block"/>
          </v:line>
        </w:pict>
      </w:r>
      <w:r>
        <w:rPr>
          <w:rFonts w:asciiTheme="minorEastAsia" w:eastAsiaTheme="minorEastAsia" w:hAnsiTheme="minorEastAsia"/>
        </w:rPr>
        <w:pict>
          <v:line id="直线 17" o:spid="_x0000_s1043" style="position:absolute;left:0;text-align:left;z-index:251677696;mso-width-relative:page;mso-height-relative:page" from="122.95pt,145.9pt" to="123pt,227.7pt" filled="t" strokeweight="1pt">
            <v:stroke endarrow="block"/>
          </v:line>
        </w:pict>
      </w:r>
      <w:r>
        <w:rPr>
          <w:rFonts w:asciiTheme="minorEastAsia" w:eastAsiaTheme="minorEastAsia" w:hAnsiTheme="minorEastAsia"/>
        </w:rPr>
        <w:pict>
          <v:line id="直线 9" o:spid="_x0000_s1042" style="position:absolute;left:0;text-align:left;z-index:251676672;mso-width-relative:page;mso-height-relative:page" from="319.3pt,81.8pt" to="319.35pt,115.9pt" filled="t" strokeweight="1pt">
            <v:stroke endarrow="block"/>
          </v:line>
        </w:pict>
      </w:r>
      <w:r>
        <w:rPr>
          <w:rFonts w:asciiTheme="minorEastAsia" w:eastAsiaTheme="minorEastAsia" w:hAnsiTheme="minorEastAsia"/>
        </w:rPr>
        <w:pict>
          <v:line id="直线 10" o:spid="_x0000_s1041" style="position:absolute;left:0;text-align:left;z-index:251675648;mso-width-relative:page;mso-height-relative:page" from="120.9pt,80.45pt" to="120.95pt,115.2pt" filled="t" strokeweight="1pt">
            <v:stroke endarrow="block"/>
          </v:line>
        </w:pict>
      </w:r>
      <w:r>
        <w:rPr>
          <w:rFonts w:asciiTheme="minorEastAsia" w:eastAsiaTheme="minorEastAsia" w:hAnsiTheme="minorEastAsia"/>
        </w:rPr>
        <w:pict>
          <v:line id="直线 11" o:spid="_x0000_s1040" style="position:absolute;left:0;text-align:left;z-index:251674624;mso-width-relative:page;mso-height-relative:page" from="269.55pt,81.1pt" to="319.3pt,81.15pt" filled="t" strokeweight="1pt"/>
        </w:pict>
      </w:r>
      <w:r>
        <w:rPr>
          <w:rFonts w:asciiTheme="minorEastAsia" w:eastAsiaTheme="minorEastAsia" w:hAnsiTheme="minorEastAsia"/>
        </w:rPr>
        <w:pict>
          <v:line id="直线 12" o:spid="_x0000_s1039" style="position:absolute;left:0;text-align:left;flip:x;z-index:251673600;mso-width-relative:page;mso-height-relative:page" from="120.25pt,80.45pt" to="161.8pt,80.5pt" filled="t" strokeweight="1pt"/>
        </w:pict>
      </w:r>
      <w:r>
        <w:rPr>
          <w:rFonts w:asciiTheme="minorEastAsia" w:eastAsiaTheme="minorEastAsia" w:hAnsiTheme="minorEastAsia"/>
        </w:rPr>
        <w:pict>
          <v:line id="直线 6" o:spid="_x0000_s1038" style="position:absolute;left:0;text-align:left;z-index:251672576;mso-width-relative:page;mso-height-relative:page" from="133.2pt,48.4pt" to="305.7pt,48.45pt" filled="t" strokeweight="1pt"/>
        </w:pict>
      </w:r>
      <w:r>
        <w:rPr>
          <w:rFonts w:asciiTheme="minorEastAsia" w:eastAsiaTheme="minorEastAsia" w:hAnsiTheme="minorEastAsia"/>
        </w:rPr>
        <w:pict>
          <v:line id="直线 7" o:spid="_x0000_s1037" style="position:absolute;left:0;text-align:left;z-index:251671552;mso-width-relative:page;mso-height-relative:page" from="305pt,36.1pt" to="305.05pt,47.7pt" filled="t" strokeweight="1pt"/>
        </w:pict>
      </w:r>
      <w:r>
        <w:rPr>
          <w:rFonts w:asciiTheme="minorEastAsia" w:eastAsiaTheme="minorEastAsia" w:hAnsiTheme="minorEastAsia"/>
        </w:rPr>
        <w:pict>
          <v:line id="直线 5" o:spid="_x0000_s1036" style="position:absolute;left:0;text-align:left;z-index:251670528;mso-width-relative:page;mso-height-relative:page" from="133.2pt,32.15pt" to="133.25pt,48.55pt" filled="t" strokeweight="1pt"/>
        </w:pict>
      </w:r>
      <w:r>
        <w:rPr>
          <w:rFonts w:asciiTheme="minorEastAsia" w:eastAsiaTheme="minorEastAsia" w:hAnsiTheme="minorEastAsia"/>
        </w:rPr>
        <w:pict>
          <v:shapetype id="_x0000_t202" coordsize="21600,21600" o:spt="202" path="m,l,21600r21600,l21600,xe">
            <v:stroke joinstyle="miter"/>
            <v:path gradientshapeok="t" o:connecttype="rect"/>
          </v:shapetype>
          <v:shape id="文本框 30" o:spid="_x0000_s1035" type="#_x0000_t202" style="position:absolute;left:0;text-align:left;margin-left:286.25pt;margin-top:393.65pt;width:110.5pt;height:28.7pt;z-index:251669504;mso-width-relative:page;mso-height-relative:page" strokeweight="1pt">
            <v:fill angle="90" type="gradient">
              <o:fill v:ext="view" type="gradientUnscaled"/>
            </v:fill>
            <v:textbox>
              <w:txbxContent>
                <w:p w:rsidR="00BD10C8" w:rsidRDefault="00BE696F">
                  <w:pPr>
                    <w:spacing w:beforeLines="20" w:before="62" w:line="2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依法公开</w:t>
                  </w:r>
                </w:p>
              </w:txbxContent>
            </v:textbox>
          </v:shape>
        </w:pict>
      </w:r>
      <w:r>
        <w:rPr>
          <w:rFonts w:asciiTheme="minorEastAsia" w:eastAsiaTheme="minorEastAsia" w:hAnsiTheme="minorEastAsia"/>
        </w:rPr>
        <w:pict>
          <v:shape id="文本框 18" o:spid="_x0000_s1034" type="#_x0000_t202" style="position:absolute;left:0;text-align:left;margin-left:237.15pt;margin-top:209.8pt;width:239.6pt;height:70.5pt;z-index:251668480;mso-width-relative:page;mso-height-relative:page" strokeweight="1pt">
            <v:fill angle="90" type="gradient">
              <o:fill v:ext="view" type="gradientUnscaled"/>
            </v:fill>
            <v:textbox>
              <w:txbxContent>
                <w:p w:rsidR="00BD10C8" w:rsidRDefault="00BE696F">
                  <w:pPr>
                    <w:spacing w:line="300" w:lineRule="exact"/>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作出行政处罚决定之前，应当告知当事人作出行政处罚决定的事实、理由及依据，并告知当事人依法享有的权利。责令停产停业、吊销许可证或者执照等情形，告知听证权利，依申请组织听证</w:t>
                  </w:r>
                </w:p>
              </w:txbxContent>
            </v:textbox>
          </v:shape>
        </w:pict>
      </w:r>
      <w:r>
        <w:rPr>
          <w:rFonts w:asciiTheme="minorEastAsia" w:eastAsiaTheme="minorEastAsia" w:hAnsiTheme="minorEastAsia"/>
        </w:rPr>
        <w:pict>
          <v:shape id="文本框 25" o:spid="_x0000_s1033" type="#_x0000_t202" style="position:absolute;left:0;text-align:left;margin-left:126.4pt;margin-top:306.75pt;width:215.45pt;height:40pt;z-index:251667456;mso-width-relative:page;mso-height-relative:page" strokeweight="1pt">
            <v:fill angle="90" type="gradient">
              <o:fill v:ext="view" type="gradientUnscaled"/>
            </v:fill>
            <v:textbox>
              <w:txbxContent>
                <w:p w:rsidR="00BD10C8" w:rsidRDefault="00BE696F">
                  <w:pPr>
                    <w:spacing w:line="3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对案件事实和适用法律问题，进行认定依法作出行政处罚决定，制作行政处罚决定书</w:t>
                  </w:r>
                </w:p>
              </w:txbxContent>
            </v:textbox>
          </v:shape>
        </w:pict>
      </w:r>
      <w:r>
        <w:rPr>
          <w:rFonts w:asciiTheme="minorEastAsia" w:eastAsiaTheme="minorEastAsia" w:hAnsiTheme="minorEastAsia"/>
        </w:rPr>
        <w:pict>
          <v:shape id="文本框 19" o:spid="_x0000_s1032" type="#_x0000_t202" style="position:absolute;left:0;text-align:left;margin-left:81.15pt;margin-top:227.6pt;width:92.8pt;height:29.4pt;z-index:251666432;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调查取证</w:t>
                  </w:r>
                </w:p>
              </w:txbxContent>
            </v:textbox>
          </v:shape>
        </w:pict>
      </w:r>
      <w:r>
        <w:rPr>
          <w:rFonts w:asciiTheme="minorEastAsia" w:eastAsiaTheme="minorEastAsia" w:hAnsiTheme="minorEastAsia"/>
        </w:rPr>
        <w:pict>
          <v:shape id="文本框 16" o:spid="_x0000_s1031" type="#_x0000_t202" style="position:absolute;left:0;text-align:left;margin-left:246.5pt;margin-top:167.25pt;width:158.15pt;height:37.5pt;z-index:251665408;mso-width-relative:page;mso-height-relative:page" strokeweight="1pt">
            <v:fill angle="90" type="gradient">
              <o:fill v:ext="view" type="gradientUnscaled"/>
            </v:fill>
            <v:textbox>
              <w:txbxContent>
                <w:p w:rsidR="00BD10C8" w:rsidRDefault="00BE696F">
                  <w:pPr>
                    <w:spacing w:line="30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告知当事人并说明理由，告知提起行政复议或行政诉讼的权力</w:t>
                  </w:r>
                </w:p>
              </w:txbxContent>
            </v:textbox>
          </v:shape>
        </w:pict>
      </w:r>
      <w:r>
        <w:rPr>
          <w:rFonts w:asciiTheme="minorEastAsia" w:eastAsiaTheme="minorEastAsia" w:hAnsiTheme="minorEastAsia"/>
        </w:rPr>
        <w:pict>
          <v:shape id="文本框 14" o:spid="_x0000_s1030" type="#_x0000_t202" style="position:absolute;left:0;text-align:left;margin-left:262.85pt;margin-top:116pt;width:107.75pt;height:29.4pt;z-index:251664384;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不予立案</w:t>
                  </w:r>
                </w:p>
              </w:txbxContent>
            </v:textbox>
          </v:shape>
        </w:pict>
      </w:r>
      <w:r>
        <w:rPr>
          <w:rFonts w:asciiTheme="minorEastAsia" w:eastAsiaTheme="minorEastAsia" w:hAnsiTheme="minorEastAsia"/>
        </w:rPr>
        <w:pict>
          <v:shape id="文本框 13" o:spid="_x0000_s1029" type="#_x0000_t202" style="position:absolute;left:0;text-align:left;margin-left:79.15pt;margin-top:115.75pt;width:81.8pt;height:29.4pt;z-index:251663360;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立案</w:t>
                  </w:r>
                </w:p>
              </w:txbxContent>
            </v:textbox>
          </v:shape>
        </w:pict>
      </w:r>
      <w:r>
        <w:rPr>
          <w:rFonts w:asciiTheme="minorEastAsia" w:eastAsiaTheme="minorEastAsia" w:hAnsiTheme="minorEastAsia"/>
        </w:rPr>
        <w:pict>
          <v:shape id="文本框 8" o:spid="_x0000_s1028" type="#_x0000_t202" style="position:absolute;left:0;text-align:left;margin-left:162.05pt;margin-top:64.25pt;width:107.75pt;height:29.4pt;z-index:251662336;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审查核实</w:t>
                  </w:r>
                </w:p>
              </w:txbxContent>
            </v:textbox>
          </v:shape>
        </w:pict>
      </w:r>
      <w:r>
        <w:rPr>
          <w:rFonts w:asciiTheme="minorEastAsia" w:eastAsiaTheme="minorEastAsia" w:hAnsiTheme="minorEastAsia"/>
        </w:rPr>
        <w:pict>
          <v:shape id="_x0000_s1027" type="#_x0000_t202" style="position:absolute;left:0;text-align:left;margin-left:251.95pt;margin-top:6.25pt;width:107.75pt;height:29.4pt;z-index:251661312;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举报投诉</w:t>
                  </w:r>
                </w:p>
              </w:txbxContent>
            </v:textbox>
          </v:shape>
        </w:pict>
      </w:r>
      <w:r>
        <w:rPr>
          <w:rFonts w:asciiTheme="minorEastAsia" w:eastAsiaTheme="minorEastAsia" w:hAnsiTheme="minorEastAsia"/>
        </w:rPr>
        <w:pict>
          <v:shape id="_x0000_s1026" type="#_x0000_t202" style="position:absolute;left:0;text-align:left;margin-left:88.6pt;margin-top:2.5pt;width:107.75pt;height:29.4pt;z-index:251660288;mso-width-relative:page;mso-height-relative:page" strokeweight="1pt">
            <v:fill angle="90" type="gradient">
              <o:fill v:ext="view" type="gradientUnscaled"/>
            </v:fill>
            <v:textbox>
              <w:txbxContent>
                <w:p w:rsidR="00BD10C8" w:rsidRDefault="00BE696F">
                  <w:pPr>
                    <w:spacing w:line="36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日常监督检查</w:t>
                  </w:r>
                </w:p>
              </w:txbxContent>
            </v:textbox>
          </v:shape>
        </w:pict>
      </w:r>
      <w:r>
        <w:rPr>
          <w:rFonts w:asciiTheme="minorEastAsia" w:eastAsiaTheme="minorEastAsia" w:hAnsiTheme="minorEastAsia"/>
        </w:rPr>
        <w:pict>
          <v:line id="直线 4" o:spid="_x0000_s1054" style="position:absolute;left:0;text-align:left;z-index:251688960;mso-width-relative:page;mso-height-relative:page" from="214.1pt,48.1pt" to="214.75pt,64.5pt" strokeweight="1pt">
            <v:stroke endarrow="block"/>
          </v:line>
        </w:pict>
      </w:r>
      <w:r>
        <w:rPr>
          <w:rFonts w:asciiTheme="minorEastAsia" w:eastAsiaTheme="minorEastAsia" w:hAnsiTheme="minorEastAsia"/>
        </w:rPr>
        <w:pict>
          <v:line id="直线 27" o:spid="_x0000_s1053" style="position:absolute;left:0;text-align:left;flip:x;z-index:251687936;mso-width-relative:page;mso-height-relative:page" from="335.7pt,366.4pt" to="335.7pt,394.35pt" strokeweight="1pt">
            <v:stroke endarrow="block"/>
          </v:line>
        </w:pict>
      </w:r>
      <w:r>
        <w:rPr>
          <w:rFonts w:asciiTheme="minorEastAsia" w:eastAsiaTheme="minorEastAsia" w:hAnsiTheme="minorEastAsia"/>
        </w:rPr>
        <w:pict>
          <v:line id="_x0000_s1052" style="position:absolute;left:0;text-align:left;z-index:251686912;mso-width-relative:page;mso-height-relative:page" from="129.1pt,365.75pt" to="129.1pt,388.25pt" filled="t" strokeweight="1pt">
            <v:stroke endarrow="block"/>
          </v:line>
        </w:pict>
      </w:r>
      <w:r>
        <w:rPr>
          <w:rFonts w:asciiTheme="minorEastAsia" w:eastAsiaTheme="minorEastAsia" w:hAnsiTheme="minorEastAsia"/>
        </w:rPr>
        <w:pict>
          <v:line id="直线 29" o:spid="_x0000_s1051" style="position:absolute;left:0;text-align:left;z-index:251685888;mso-width-relative:page;mso-height-relative:page" from="129.2pt,366.25pt" to="335.75pt,366.3pt" strokeweight="1pt"/>
        </w:pict>
      </w:r>
      <w:r>
        <w:rPr>
          <w:rFonts w:asciiTheme="minorEastAsia" w:eastAsiaTheme="minorEastAsia" w:hAnsiTheme="minorEastAsia"/>
        </w:rPr>
        <w:pict>
          <v:line id="_x0000_s1050" style="position:absolute;left:0;text-align:left;z-index:251684864;mso-width-relative:page;mso-height-relative:page" from="219.1pt,347.05pt" to="219.15pt,365.7pt" strokeweight="1pt"/>
        </w:pict>
      </w:r>
      <w:r>
        <w:rPr>
          <w:rFonts w:asciiTheme="minorEastAsia" w:eastAsiaTheme="minorEastAsia" w:hAnsiTheme="minorEastAsia"/>
        </w:rPr>
        <w:pict>
          <v:line id="_x0000_s1048" style="position:absolute;left:0;text-align:left;z-index:251682816;mso-width-relative:page;mso-height-relative:page" from="126.05pt,288.45pt" to="325.1pt,288.5pt" strokeweight="1pt"/>
        </w:pict>
      </w:r>
      <w:r>
        <w:rPr>
          <w:rFonts w:asciiTheme="minorEastAsia" w:eastAsiaTheme="minorEastAsia" w:hAnsiTheme="minorEastAsia"/>
        </w:rPr>
        <w:pict>
          <v:line id="直线 22" o:spid="_x0000_s1047" style="position:absolute;left:0;text-align:left;z-index:251681792;mso-width-relative:page;mso-height-relative:page" from="325.2pt,281.3pt" to="325.25pt,289.2pt" strokeweight="1pt"/>
        </w:pict>
      </w:r>
    </w:p>
    <w:p w:rsidR="00BD10C8" w:rsidRDefault="00BD10C8">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BD10C8" w:rsidRDefault="00BD10C8">
      <w:pPr>
        <w:tabs>
          <w:tab w:val="left" w:pos="0"/>
        </w:tabs>
        <w:adjustRightInd w:val="0"/>
        <w:snapToGrid w:val="0"/>
        <w:spacing w:line="590" w:lineRule="exact"/>
        <w:rPr>
          <w:rFonts w:asciiTheme="minorEastAsia" w:eastAsiaTheme="minorEastAsia" w:hAnsiTheme="minorEastAsia"/>
          <w:snapToGrid w:val="0"/>
          <w:color w:val="000000"/>
          <w:sz w:val="32"/>
          <w:szCs w:val="32"/>
        </w:rPr>
      </w:pPr>
    </w:p>
    <w:p w:rsidR="00BD10C8" w:rsidRDefault="00BE696F">
      <w:pPr>
        <w:tabs>
          <w:tab w:val="left" w:pos="0"/>
        </w:tabs>
        <w:adjustRightInd w:val="0"/>
        <w:snapToGrid w:val="0"/>
        <w:spacing w:line="300" w:lineRule="exact"/>
        <w:ind w:left="360" w:hangingChars="120" w:hanging="360"/>
        <w:rPr>
          <w:rFonts w:asciiTheme="minorEastAsia" w:eastAsiaTheme="minorEastAsia" w:hAnsiTheme="minorEastAsia"/>
        </w:rPr>
      </w:pPr>
      <w:r>
        <w:rPr>
          <w:rFonts w:asciiTheme="minorEastAsia" w:eastAsiaTheme="minorEastAsia" w:hAnsiTheme="minorEastAsia"/>
        </w:rPr>
        <w:pict>
          <v:rect id="矩形 165" o:spid="_x0000_s1055" style="position:absolute;left:0;text-align:left;margin-left:92.5pt;margin-top:300.85pt;width:150pt;height:61.2pt;z-index:251689984;mso-width-relative:page;mso-height-relative:page">
            <v:textbox>
              <w:txbxContent>
                <w:p w:rsidR="00BD10C8" w:rsidRDefault="00BE696F">
                  <w:pPr>
                    <w:spacing w:line="320" w:lineRule="exact"/>
                    <w:rPr>
                      <w:rFonts w:asciiTheme="minorEastAsia" w:eastAsiaTheme="minorEastAsia" w:hAnsiTheme="minorEastAsia"/>
                      <w:sz w:val="21"/>
                      <w:szCs w:val="21"/>
                    </w:rPr>
                  </w:pPr>
                  <w:r>
                    <w:rPr>
                      <w:rFonts w:asciiTheme="minorEastAsia" w:eastAsiaTheme="minorEastAsia" w:hAnsiTheme="minorEastAsia" w:cs="宋体" w:hint="eastAsia"/>
                      <w:sz w:val="21"/>
                      <w:szCs w:val="21"/>
                    </w:rPr>
                    <w:t>行政处罚决定书送达当事人，并告知依法申请复议、提起行政诉讼的权利</w:t>
                  </w:r>
                </w:p>
              </w:txbxContent>
            </v:textbox>
          </v:rect>
        </w:pict>
      </w:r>
      <w:r>
        <w:rPr>
          <w:rFonts w:asciiTheme="minorEastAsia" w:eastAsiaTheme="minorEastAsia" w:hAnsiTheme="minorEastAsia"/>
        </w:rPr>
        <w:pict>
          <v:line id="直线 23" o:spid="_x0000_s1049" style="position:absolute;left:0;text-align:left;z-index:251683840;mso-width-relative:page;mso-height-relative:page" from="216.95pt,200.55pt" to="216.95pt,216.15pt" filled="t" strokeweight="1pt">
            <v:stroke endarrow="block"/>
          </v:line>
        </w:pict>
      </w:r>
    </w:p>
    <w:p w:rsidR="00BD10C8" w:rsidRDefault="00BD10C8">
      <w:pPr>
        <w:rPr>
          <w:rFonts w:asciiTheme="minorEastAsia" w:eastAsiaTheme="minorEastAsia" w:hAnsiTheme="minorEastAsia"/>
        </w:rPr>
      </w:pPr>
    </w:p>
    <w:sectPr w:rsidR="00BD10C8" w:rsidSect="00BE696F">
      <w:pgSz w:w="11906" w:h="16838"/>
      <w:pgMar w:top="1440" w:right="1274"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0E02"/>
    <w:rsid w:val="000D1834"/>
    <w:rsid w:val="000D6C63"/>
    <w:rsid w:val="001A0E6B"/>
    <w:rsid w:val="002B36B3"/>
    <w:rsid w:val="003B565B"/>
    <w:rsid w:val="0047253F"/>
    <w:rsid w:val="004C5D5E"/>
    <w:rsid w:val="00662A57"/>
    <w:rsid w:val="00685C1C"/>
    <w:rsid w:val="00697A34"/>
    <w:rsid w:val="0077116C"/>
    <w:rsid w:val="00806402"/>
    <w:rsid w:val="009D2FD1"/>
    <w:rsid w:val="00A039B1"/>
    <w:rsid w:val="00AF4659"/>
    <w:rsid w:val="00B43BC2"/>
    <w:rsid w:val="00BC2019"/>
    <w:rsid w:val="00BD0A97"/>
    <w:rsid w:val="00BD10C8"/>
    <w:rsid w:val="00BE696F"/>
    <w:rsid w:val="00BF6AFE"/>
    <w:rsid w:val="00C50AFF"/>
    <w:rsid w:val="00CD33C9"/>
    <w:rsid w:val="00D20867"/>
    <w:rsid w:val="00DB35BD"/>
    <w:rsid w:val="00DE0E02"/>
    <w:rsid w:val="00DE2F4F"/>
    <w:rsid w:val="00E23180"/>
    <w:rsid w:val="00EF44A1"/>
    <w:rsid w:val="017C1668"/>
    <w:rsid w:val="0E9F0E3D"/>
    <w:rsid w:val="1BFA79BB"/>
    <w:rsid w:val="440D0A66"/>
    <w:rsid w:val="441403F1"/>
    <w:rsid w:val="45A65304"/>
    <w:rsid w:val="471B47BE"/>
    <w:rsid w:val="4B7E76ED"/>
    <w:rsid w:val="4DE5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6" fillcolor="white">
      <v:fill color="white"/>
    </o:shapedefaults>
    <o:shapelayout v:ext="edit">
      <o:idmap v:ext="edit" data="1"/>
    </o:shapelayout>
  </w:shapeDefaults>
  <w:decimalSymbol w:val="."/>
  <w:listSeparator w:val=","/>
  <w15:docId w15:val="{308895B4-D248-42B9-9870-2E1931FC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info1">
    <w:name w:val="info1"/>
    <w:qFormat/>
    <w:rPr>
      <w:rFonts w:cs="Times New Roman"/>
      <w:spacing w:val="15"/>
      <w:sz w:val="21"/>
      <w:szCs w:val="21"/>
    </w:rPr>
  </w:style>
  <w:style w:type="character" w:customStyle="1" w:styleId="Char0">
    <w:name w:val="页眉 Char"/>
    <w:basedOn w:val="a0"/>
    <w:link w:val="a4"/>
    <w:uiPriority w:val="99"/>
    <w:semiHidden/>
    <w:qFormat/>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54"/>
    <customShpInfo spid="_x0000_s1053"/>
    <customShpInfo spid="_x0000_s1052"/>
    <customShpInfo spid="_x0000_s1051"/>
    <customShpInfo spid="_x0000_s1050"/>
    <customShpInfo spid="_x0000_s1048"/>
    <customShpInfo spid="_x0000_s1047"/>
    <customShpInfo spid="_x0000_s1055"/>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Company>微软中国</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潘国琛</dc:creator>
  <cp:lastModifiedBy>黄世东</cp:lastModifiedBy>
  <cp:revision>10</cp:revision>
  <dcterms:created xsi:type="dcterms:W3CDTF">2017-07-17T00:54:00Z</dcterms:created>
  <dcterms:modified xsi:type="dcterms:W3CDTF">2017-12-13T08:43:00Z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