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B1B" w:rsidRDefault="001E3BD5">
      <w:pPr>
        <w:adjustRightInd w:val="0"/>
        <w:snapToGrid w:val="0"/>
        <w:spacing w:line="560" w:lineRule="exact"/>
        <w:rPr>
          <w:rFonts w:ascii="方正小标宋_GBK" w:eastAsia="方正小标宋_GBK" w:hAnsiTheme="minorEastAsia"/>
          <w:sz w:val="32"/>
          <w:szCs w:val="32"/>
          <w:shd w:val="clear" w:color="auto" w:fill="FFFFFF"/>
        </w:rPr>
      </w:pPr>
      <w:r>
        <w:rPr>
          <w:rFonts w:ascii="方正小标宋_GBK" w:eastAsia="方正小标宋_GBK" w:hAnsiTheme="minorEastAsia" w:hint="eastAsia"/>
          <w:sz w:val="32"/>
          <w:szCs w:val="32"/>
          <w:shd w:val="clear" w:color="auto" w:fill="FFFFFF"/>
        </w:rPr>
        <w:t>行政权力事项实施清单</w:t>
      </w:r>
    </w:p>
    <w:p w:rsidR="00377B1B" w:rsidRDefault="001E3BD5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 w:hAnsiTheme="minorEastAsia"/>
          <w:color w:val="000000"/>
          <w:spacing w:val="-10"/>
          <w:sz w:val="44"/>
          <w:szCs w:val="44"/>
        </w:rPr>
      </w:pPr>
      <w:r>
        <w:rPr>
          <w:rFonts w:ascii="方正小标宋_GBK" w:eastAsia="方正小标宋_GBK" w:hAnsiTheme="minorEastAsia" w:hint="eastAsia"/>
          <w:color w:val="000000"/>
          <w:spacing w:val="-10"/>
          <w:sz w:val="44"/>
          <w:szCs w:val="44"/>
        </w:rPr>
        <w:t>对设计、施工、监理单位未采用、使用、监管新型墙</w:t>
      </w:r>
      <w:proofErr w:type="gramStart"/>
      <w:r>
        <w:rPr>
          <w:rFonts w:ascii="方正小标宋_GBK" w:eastAsia="方正小标宋_GBK" w:hAnsiTheme="minorEastAsia" w:hint="eastAsia"/>
          <w:color w:val="000000"/>
          <w:spacing w:val="-10"/>
          <w:sz w:val="44"/>
          <w:szCs w:val="44"/>
        </w:rPr>
        <w:t>体材</w:t>
      </w:r>
      <w:proofErr w:type="gramEnd"/>
      <w:r>
        <w:rPr>
          <w:rFonts w:ascii="方正小标宋_GBK" w:eastAsia="方正小标宋_GBK" w:hAnsiTheme="minorEastAsia" w:hint="eastAsia"/>
          <w:color w:val="000000"/>
          <w:spacing w:val="-10"/>
          <w:sz w:val="44"/>
          <w:szCs w:val="44"/>
        </w:rPr>
        <w:t>料的处罚</w:t>
      </w:r>
    </w:p>
    <w:p w:rsidR="00377B1B" w:rsidRDefault="00377B1B">
      <w:pPr>
        <w:pStyle w:val="p0"/>
        <w:widowControl w:val="0"/>
        <w:adjustRightInd w:val="0"/>
        <w:snapToGrid w:val="0"/>
        <w:spacing w:line="240" w:lineRule="exact"/>
        <w:jc w:val="center"/>
        <w:rPr>
          <w:rFonts w:ascii="方正小标宋_GBK" w:eastAsia="方正小标宋_GBK" w:hAnsiTheme="minorEastAsia"/>
          <w:color w:val="000000"/>
          <w:spacing w:val="-10"/>
          <w:sz w:val="44"/>
          <w:szCs w:val="44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719"/>
        <w:gridCol w:w="1410"/>
        <w:gridCol w:w="1417"/>
        <w:gridCol w:w="5712"/>
      </w:tblGrid>
      <w:tr w:rsidR="00377B1B">
        <w:trPr>
          <w:trHeight w:val="284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行政处罚</w:t>
            </w:r>
          </w:p>
        </w:tc>
      </w:tr>
      <w:tr w:rsidR="00377B1B">
        <w:trPr>
          <w:trHeight w:val="284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377B1B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377B1B" w:rsidTr="001E3BD5">
        <w:trPr>
          <w:trHeight w:val="238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377B1B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377B1B" w:rsidTr="001E3BD5">
        <w:trPr>
          <w:trHeight w:val="557"/>
          <w:jc w:val="center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对设计、施工、监理单位未采用、使用、监管新型墙</w:t>
            </w:r>
            <w:proofErr w:type="gramStart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料的处罚</w:t>
            </w:r>
          </w:p>
        </w:tc>
      </w:tr>
      <w:tr w:rsidR="00377B1B">
        <w:trPr>
          <w:trHeight w:val="284"/>
          <w:jc w:val="center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377B1B">
            <w:pPr>
              <w:adjustRightInd w:val="0"/>
              <w:snapToGrid w:val="0"/>
              <w:spacing w:line="280" w:lineRule="exact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377B1B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377B1B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</w:p>
        </w:tc>
      </w:tr>
      <w:tr w:rsidR="00377B1B">
        <w:trPr>
          <w:trHeight w:val="284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77B1B" w:rsidRDefault="001E3BD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贺州市住房城乡建设局</w:t>
            </w:r>
          </w:p>
        </w:tc>
      </w:tr>
      <w:tr w:rsidR="00377B1B">
        <w:trPr>
          <w:trHeight w:val="284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法定机关</w:t>
            </w:r>
          </w:p>
        </w:tc>
      </w:tr>
      <w:tr w:rsidR="00377B1B">
        <w:trPr>
          <w:trHeight w:val="34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77B1B" w:rsidRDefault="001E3BD5">
            <w:pPr>
              <w:adjustRightInd w:val="0"/>
              <w:snapToGrid w:val="0"/>
              <w:spacing w:line="40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1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贺州市墙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料改革办公室</w:t>
            </w:r>
          </w:p>
        </w:tc>
      </w:tr>
      <w:tr w:rsidR="00377B1B">
        <w:trPr>
          <w:trHeight w:val="340"/>
          <w:jc w:val="center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咨询及</w:t>
            </w:r>
          </w:p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监督电话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077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4-5137851</w:t>
            </w:r>
          </w:p>
        </w:tc>
      </w:tr>
      <w:tr w:rsidR="00377B1B">
        <w:trPr>
          <w:trHeight w:val="340"/>
          <w:jc w:val="center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377B1B">
            <w:pPr>
              <w:adjustRightInd w:val="0"/>
              <w:snapToGrid w:val="0"/>
              <w:spacing w:line="300" w:lineRule="exact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77B1B" w:rsidRDefault="00377B1B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0774-51378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92</w:t>
            </w:r>
          </w:p>
        </w:tc>
      </w:tr>
      <w:tr w:rsidR="00377B1B" w:rsidTr="001E3BD5">
        <w:trPr>
          <w:trHeight w:val="1724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【地方性法规】《广西壮族自治区新型墙</w:t>
            </w:r>
            <w:proofErr w:type="gramStart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料促进条例》（自治区人大常委会十届第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95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号公告，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2007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27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日）第二十九条：设计单位未采用新型墙</w:t>
            </w:r>
            <w:proofErr w:type="gramStart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料、施工单位未按照设计要求使用新型墙</w:t>
            </w:r>
            <w:proofErr w:type="gramStart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料、监理单位未把使用新型墙</w:t>
            </w:r>
            <w:proofErr w:type="gramStart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料的情况纳入监理范围的，由县级以上建设行政主管部门责令改正，无法改正的，分别处以一万元以上五万元以下的罚款。</w:t>
            </w:r>
          </w:p>
        </w:tc>
      </w:tr>
      <w:tr w:rsidR="00377B1B">
        <w:trPr>
          <w:trHeight w:val="34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未采用、使用、监管新型墙</w:t>
            </w:r>
            <w:proofErr w:type="gramStart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料的设计、施工、监理单位</w:t>
            </w:r>
          </w:p>
        </w:tc>
      </w:tr>
      <w:tr w:rsidR="00377B1B">
        <w:trPr>
          <w:trHeight w:val="34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行使层级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此事项属于自治区、市、县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级分级管理。</w:t>
            </w:r>
          </w:p>
        </w:tc>
      </w:tr>
      <w:tr w:rsidR="00377B1B">
        <w:trPr>
          <w:trHeight w:val="34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权限划分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根据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《广西壮族自治区新型墙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料促进条例》）第二十九条：设计单位未采用新型墙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料、施工单位未按照设计要求使用新型墙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料、监理单位未把使用新型墙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料的情况纳入监理范围的，由县级以上建设行政主管部门责令改正，无法改正的，分别处以一万元以上五万元以下的罚款。</w:t>
            </w:r>
          </w:p>
        </w:tc>
      </w:tr>
      <w:tr w:rsidR="00377B1B">
        <w:trPr>
          <w:trHeight w:val="34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行使内容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按照属地管理原则，市本级对本辖区范围内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未采用、使用、监管新型墙</w:t>
            </w:r>
            <w:proofErr w:type="gramStart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料的设计、施工、监理单位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进行处罚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377B1B" w:rsidTr="001E3BD5">
        <w:trPr>
          <w:trHeight w:val="606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法定办结</w:t>
            </w:r>
          </w:p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时限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日。经本机关负责人批准，可以延长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日。需要继续延长的，报上一级行政主管机关批准。</w:t>
            </w:r>
          </w:p>
        </w:tc>
      </w:tr>
      <w:tr w:rsidR="00377B1B">
        <w:trPr>
          <w:trHeight w:val="34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处罚流程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详见附件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377B1B">
        <w:trPr>
          <w:trHeight w:val="340"/>
          <w:jc w:val="center"/>
        </w:trPr>
        <w:tc>
          <w:tcPr>
            <w:tcW w:w="7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结果名称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行政处罚决定书。</w:t>
            </w:r>
          </w:p>
        </w:tc>
      </w:tr>
      <w:tr w:rsidR="00377B1B">
        <w:trPr>
          <w:trHeight w:val="34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运行系统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ind w:firstLineChars="250" w:firstLine="52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</w:p>
        </w:tc>
      </w:tr>
      <w:tr w:rsidR="001E3BD5">
        <w:trPr>
          <w:trHeight w:val="34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E3BD5" w:rsidRDefault="001E3BD5" w:rsidP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E3BD5" w:rsidRDefault="001E3BD5" w:rsidP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责任事项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E3BD5" w:rsidRDefault="001E3BD5" w:rsidP="001E3BD5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1.立案责任：通过日常监管、群众举投诉、举报或其他方式发现违法违规的行为，进行监督检查和核实，并决定是否立案受理。 </w:t>
            </w:r>
          </w:p>
          <w:p w:rsidR="001E3BD5" w:rsidRDefault="001E3BD5" w:rsidP="001E3BD5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2.调查取证责任：对立案的案件，及时组织调查取证，通过搜集证据、现场了解核实情况等进行调查，并制作笔录。</w:t>
            </w:r>
          </w:p>
          <w:p w:rsidR="001E3BD5" w:rsidRDefault="001E3BD5" w:rsidP="001E3BD5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材料核实，现场核实，调查取证。 </w:t>
            </w:r>
          </w:p>
          <w:p w:rsidR="001E3BD5" w:rsidRDefault="001E3BD5" w:rsidP="001E3BD5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3.复核审查责任：对案件违法事实、证据、调查取证程序、法律适用、处罚种类和幅度、当事人陈述和申辩理由等方面进行审查，提出处理意见。</w:t>
            </w:r>
          </w:p>
          <w:p w:rsidR="001E3BD5" w:rsidRDefault="001E3BD5" w:rsidP="001E3BD5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4.告知责任：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行政处罚决定前，制作《行政处罚告知书》送达当事人，告知违法事实、处罚依据和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拟处罚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意见，以及当事人享有的陈述、申辩等权利。符合听证规定的，制作并送达《行政处罚听证告知书》。</w:t>
            </w:r>
          </w:p>
          <w:p w:rsidR="001E3BD5" w:rsidRDefault="001E3BD5" w:rsidP="001E3BD5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5.决定责任：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处罚决定，制作行政处罚决定书，载明行政处罚告知、当事人陈述申辩或者听证情况等内容。</w:t>
            </w:r>
          </w:p>
          <w:p w:rsidR="001E3BD5" w:rsidRDefault="001E3BD5" w:rsidP="001E3BD5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6.送达责任：按有关规定将行政处罚决定书送达当事人。  </w:t>
            </w:r>
          </w:p>
          <w:p w:rsidR="001E3BD5" w:rsidRDefault="001E3BD5" w:rsidP="001E3BD5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7.执行责任：依照生效的行政处罚决定，自觉履行或强制执行。</w:t>
            </w:r>
          </w:p>
          <w:p w:rsidR="001E3BD5" w:rsidRDefault="001E3BD5" w:rsidP="001E3BD5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8.监督责任：对处罚决定执行情况进行监督检查。</w:t>
            </w:r>
          </w:p>
          <w:p w:rsidR="001E3BD5" w:rsidRDefault="001E3BD5" w:rsidP="001E3BD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9.其他法律法规规章文件规定应履行的责任。</w:t>
            </w:r>
          </w:p>
        </w:tc>
      </w:tr>
      <w:tr w:rsidR="001E3BD5">
        <w:trPr>
          <w:trHeight w:val="34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E3BD5" w:rsidRDefault="001E3BD5" w:rsidP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E3BD5" w:rsidRDefault="001E3BD5" w:rsidP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追责情形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E3BD5" w:rsidRDefault="001E3BD5" w:rsidP="001E3BD5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因不履行或不正确履行行政职责，有下列情形的行政机关及相关工作人员应承担相应的责任：</w:t>
            </w:r>
          </w:p>
          <w:p w:rsidR="001E3BD5" w:rsidRDefault="001E3BD5" w:rsidP="001E3BD5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 发现违法行为不予查处的；</w:t>
            </w:r>
          </w:p>
          <w:p w:rsidR="001E3BD5" w:rsidRDefault="001E3BD5" w:rsidP="001E3BD5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 违反法定处罚程序的；</w:t>
            </w:r>
          </w:p>
          <w:p w:rsidR="001E3BD5" w:rsidRDefault="001E3BD5" w:rsidP="001E3BD5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 利用职务便利索取或者收受当事人财物徇私舞弊袒护当事人的；</w:t>
            </w:r>
          </w:p>
          <w:p w:rsidR="001E3BD5" w:rsidRDefault="001E3BD5" w:rsidP="001E3BD5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4. 擅自改变行政处罚种类、幅度的；</w:t>
            </w:r>
          </w:p>
          <w:p w:rsidR="001E3BD5" w:rsidRDefault="001E3BD5" w:rsidP="001E3BD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5. 其他违反法律法规规定的行为。</w:t>
            </w:r>
          </w:p>
        </w:tc>
      </w:tr>
      <w:tr w:rsidR="00377B1B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备注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77B1B" w:rsidRDefault="00377B1B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377B1B" w:rsidRDefault="00377B1B">
      <w:pPr>
        <w:adjustRightInd w:val="0"/>
        <w:snapToGrid w:val="0"/>
        <w:spacing w:line="590" w:lineRule="exact"/>
        <w:jc w:val="center"/>
        <w:rPr>
          <w:rFonts w:asciiTheme="minorEastAsia" w:eastAsiaTheme="minorEastAsia" w:hAnsiTheme="minorEastAsia"/>
          <w:bCs/>
          <w:sz w:val="44"/>
          <w:szCs w:val="44"/>
          <w:shd w:val="clear" w:color="auto" w:fill="FFFFFF"/>
        </w:rPr>
      </w:pPr>
    </w:p>
    <w:p w:rsidR="00377B1B" w:rsidRDefault="00377B1B">
      <w:pPr>
        <w:adjustRightInd w:val="0"/>
        <w:snapToGrid w:val="0"/>
        <w:spacing w:line="590" w:lineRule="exact"/>
        <w:jc w:val="center"/>
        <w:rPr>
          <w:rFonts w:ascii="方正小标宋_GBK" w:eastAsia="方正小标宋_GBK" w:hAnsiTheme="minorEastAsia"/>
          <w:bCs/>
          <w:sz w:val="44"/>
          <w:szCs w:val="44"/>
          <w:shd w:val="clear" w:color="auto" w:fill="FFFFFF"/>
        </w:rPr>
      </w:pPr>
    </w:p>
    <w:p w:rsidR="00377B1B" w:rsidRDefault="001E3BD5">
      <w:pPr>
        <w:adjustRightInd w:val="0"/>
        <w:snapToGrid w:val="0"/>
        <w:spacing w:line="590" w:lineRule="exact"/>
        <w:jc w:val="center"/>
        <w:rPr>
          <w:rFonts w:ascii="方正小标宋_GBK" w:eastAsia="方正小标宋_GBK" w:hAnsiTheme="minorEastAsia"/>
          <w:bCs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方正小标宋_GBK" w:eastAsia="方正小标宋_GBK" w:hAnsiTheme="minorEastAsia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p w:rsidR="00377B1B" w:rsidRDefault="00377B1B">
      <w:pPr>
        <w:adjustRightInd w:val="0"/>
        <w:snapToGrid w:val="0"/>
        <w:spacing w:line="590" w:lineRule="exact"/>
        <w:jc w:val="center"/>
        <w:rPr>
          <w:rFonts w:asciiTheme="minorEastAsia" w:eastAsiaTheme="minorEastAsia" w:hAnsiTheme="minorEastAsia"/>
          <w:bCs/>
          <w:sz w:val="44"/>
          <w:szCs w:val="44"/>
          <w:shd w:val="clear" w:color="auto" w:fill="FFFFFF"/>
        </w:rPr>
      </w:pP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3741"/>
        <w:gridCol w:w="521"/>
        <w:gridCol w:w="3408"/>
        <w:gridCol w:w="1064"/>
      </w:tblGrid>
      <w:tr w:rsidR="00377B1B">
        <w:trPr>
          <w:trHeight w:val="34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风险点</w:t>
            </w:r>
          </w:p>
          <w:p w:rsidR="00377B1B" w:rsidRDefault="001E3BD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责任人</w:t>
            </w:r>
          </w:p>
        </w:tc>
      </w:tr>
      <w:tr w:rsidR="00377B1B">
        <w:trPr>
          <w:trHeight w:val="340"/>
          <w:jc w:val="center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受理立案环节：未经批准擅自决定受理或立案；收受好处，徇私舞弊，应立案不立案；玩忽职守，不能立案的立案；超越职权，擅自销案等。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严格执行《行政处罚法》等规定。建立查处案件台账，定期进行检查；严格按照行政处罚事项受理、立案的有关规定办理；严格按照法规程序进行监督。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377B1B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77B1B" w:rsidRDefault="00377B1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调查取证环节：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严格依照民政法律法规规章办理案件。严格按法定程序进行调查取证；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建立问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377B1B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77B1B" w:rsidRDefault="00377B1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决定环节：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坚持以事实为依据，以法律为准绳的原则，听取当事人的陈述和申辩；严格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层级审批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对情节复杂或者重大违法行为给予行政处罚的，民政局负责人应当集体讨论决定；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严格按照法定成程序，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作出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公正的处罚决定。对案卷进行抽查评查，加强对处罚实施过程的监督，加强政务公开。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377B1B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77B1B" w:rsidRDefault="00377B1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送达执行环节：未按规定送达；或者未对相关社会组织执行行政处罚决定情况进行监督检查。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严格按照《行政处罚法》的规定送达和执行。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77B1B" w:rsidRDefault="001E3BD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承办机构办案人员</w:t>
            </w:r>
          </w:p>
        </w:tc>
      </w:tr>
    </w:tbl>
    <w:p w:rsidR="00377B1B" w:rsidRDefault="001E3BD5">
      <w:pPr>
        <w:adjustRightInd w:val="0"/>
        <w:snapToGrid w:val="0"/>
        <w:spacing w:line="590" w:lineRule="exact"/>
        <w:ind w:leftChars="-200" w:left="-584" w:rightChars="-231" w:right="-693" w:hangingChars="5" w:hanging="16"/>
        <w:rPr>
          <w:rFonts w:ascii="黑体" w:eastAsia="黑体" w:hAnsiTheme="minor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附件：</w:t>
      </w:r>
      <w:r>
        <w:rPr>
          <w:rFonts w:ascii="仿宋" w:eastAsia="仿宋" w:hAnsi="仿宋" w:cs="仿宋" w:hint="eastAsia"/>
          <w:color w:val="000000"/>
          <w:spacing w:val="-10"/>
          <w:sz w:val="32"/>
          <w:szCs w:val="32"/>
        </w:rPr>
        <w:t>对设计、施工、监理单位未采用、使用、监管新型墙</w:t>
      </w:r>
      <w:proofErr w:type="gramStart"/>
      <w:r>
        <w:rPr>
          <w:rFonts w:ascii="仿宋" w:eastAsia="仿宋" w:hAnsi="仿宋" w:cs="仿宋" w:hint="eastAsia"/>
          <w:color w:val="000000"/>
          <w:spacing w:val="-10"/>
          <w:sz w:val="32"/>
          <w:szCs w:val="32"/>
        </w:rPr>
        <w:t>体材</w:t>
      </w:r>
      <w:proofErr w:type="gramEnd"/>
      <w:r>
        <w:rPr>
          <w:rFonts w:ascii="仿宋" w:eastAsia="仿宋" w:hAnsi="仿宋" w:cs="仿宋" w:hint="eastAsia"/>
          <w:color w:val="000000"/>
          <w:spacing w:val="-10"/>
          <w:sz w:val="32"/>
          <w:szCs w:val="32"/>
        </w:rPr>
        <w:t>料的处罚</w:t>
      </w:r>
      <w:r>
        <w:rPr>
          <w:rFonts w:ascii="仿宋" w:eastAsia="仿宋" w:hAnsi="仿宋" w:cs="仿宋" w:hint="eastAsia"/>
          <w:sz w:val="32"/>
          <w:szCs w:val="32"/>
        </w:rPr>
        <w:t>流程图</w:t>
      </w:r>
    </w:p>
    <w:p w:rsidR="00377B1B" w:rsidRDefault="001E3BD5">
      <w:pPr>
        <w:adjustRightInd w:val="0"/>
        <w:snapToGrid w:val="0"/>
        <w:spacing w:line="590" w:lineRule="exact"/>
        <w:rPr>
          <w:rFonts w:ascii="黑体" w:eastAsia="黑体" w:hAnsiTheme="minorEastAsia"/>
          <w:color w:val="000000"/>
          <w:sz w:val="32"/>
          <w:szCs w:val="32"/>
        </w:rPr>
      </w:pPr>
      <w:r>
        <w:rPr>
          <w:rFonts w:ascii="黑体" w:eastAsia="黑体" w:hAnsiTheme="minorEastAsia" w:hint="eastAsia"/>
          <w:color w:val="000000"/>
          <w:sz w:val="32"/>
          <w:szCs w:val="32"/>
        </w:rPr>
        <w:lastRenderedPageBreak/>
        <w:t>附件</w:t>
      </w:r>
    </w:p>
    <w:p w:rsidR="00377B1B" w:rsidRDefault="00377B1B">
      <w:pPr>
        <w:adjustRightInd w:val="0"/>
        <w:snapToGrid w:val="0"/>
        <w:spacing w:line="59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</w:p>
    <w:p w:rsidR="00377B1B" w:rsidRDefault="001E3BD5">
      <w:pPr>
        <w:spacing w:line="590" w:lineRule="exact"/>
        <w:ind w:left="550" w:hangingChars="131" w:hanging="550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ascii="方正小标宋_GBK" w:eastAsia="方正小标宋_GBK" w:hAnsiTheme="minorEastAsia" w:hint="eastAsia"/>
          <w:color w:val="000000"/>
          <w:spacing w:val="-10"/>
          <w:sz w:val="44"/>
          <w:szCs w:val="44"/>
        </w:rPr>
        <w:t>对设计、施工、监理单位未采用、使用、监管新型墙</w:t>
      </w:r>
      <w:proofErr w:type="gramStart"/>
      <w:r>
        <w:rPr>
          <w:rFonts w:ascii="方正小标宋_GBK" w:eastAsia="方正小标宋_GBK" w:hAnsiTheme="minorEastAsia" w:hint="eastAsia"/>
          <w:color w:val="000000"/>
          <w:spacing w:val="-10"/>
          <w:sz w:val="44"/>
          <w:szCs w:val="44"/>
        </w:rPr>
        <w:t>体材</w:t>
      </w:r>
      <w:proofErr w:type="gramEnd"/>
      <w:r>
        <w:rPr>
          <w:rFonts w:ascii="方正小标宋_GBK" w:eastAsia="方正小标宋_GBK" w:hAnsiTheme="minorEastAsia" w:hint="eastAsia"/>
          <w:color w:val="000000"/>
          <w:spacing w:val="-10"/>
          <w:sz w:val="44"/>
          <w:szCs w:val="44"/>
        </w:rPr>
        <w:t>料的处罚</w:t>
      </w:r>
      <w:r>
        <w:rPr>
          <w:rFonts w:ascii="方正小标宋_GBK" w:eastAsia="方正小标宋_GBK" w:hAnsiTheme="minorEastAsia" w:hint="eastAsia"/>
          <w:sz w:val="44"/>
          <w:szCs w:val="44"/>
        </w:rPr>
        <w:t>流程图</w:t>
      </w:r>
    </w:p>
    <w:p w:rsidR="00377B1B" w:rsidRDefault="001E3BD5">
      <w:pPr>
        <w:spacing w:line="590" w:lineRule="exact"/>
        <w:ind w:left="419" w:hangingChars="131" w:hanging="419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377B1B" w:rsidRDefault="00377B1B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377B1B" w:rsidRDefault="001E3BD5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  <w:r>
        <w:rPr>
          <w:rFonts w:asciiTheme="minorEastAsia" w:eastAsiaTheme="minorEastAsia" w:hAnsiTheme="minorEastAsia"/>
        </w:rPr>
        <w:pict>
          <v:line id="直线 20" o:spid="_x0000_s1066" style="position:absolute;left:0;text-align:left;flip:x;z-index:251642880;mso-width-relative:page;mso-height-relative:page" from="125.4pt,257.45pt" to="126.05pt,288.45pt" strokeweight="1pt"/>
        </w:pict>
      </w:r>
      <w:r>
        <w:rPr>
          <w:rFonts w:asciiTheme="minorEastAsia" w:eastAsiaTheme="minorEastAsia" w:hAnsiTheme="minorEastAsia"/>
        </w:rPr>
        <w:pict>
          <v:line id="直线 21" o:spid="_x0000_s1065" style="position:absolute;left:0;text-align:left;z-index:251643904;mso-width-relative:page;mso-height-relative:page" from="174.8pt,242.05pt" to="236.6pt,242.0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5" o:spid="_x0000_s1064" style="position:absolute;left:0;text-align:left;z-index:251644928;mso-width-relative:page;mso-height-relative:page" from="317.95pt,145.2pt" to="318pt,166.35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7" o:spid="_x0000_s1063" style="position:absolute;left:0;text-align:left;z-index:251645952;mso-width-relative:page;mso-height-relative:page" from="122.95pt,145.9pt" to="123pt,227.7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9" o:spid="_x0000_s1062" style="position:absolute;left:0;text-align:left;z-index:251646976;mso-width-relative:page;mso-height-relative:page" from="319.3pt,81.8pt" to="319.35pt,115.9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0" o:spid="_x0000_s1061" style="position:absolute;left:0;text-align:left;z-index:251648000;mso-width-relative:page;mso-height-relative:page" from="120.9pt,80.45pt" to="120.95pt,115.2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1" o:spid="_x0000_s1060" style="position:absolute;left:0;text-align:left;z-index:251649024;mso-width-relative:page;mso-height-relative:page" from="269.55pt,81.1pt" to="319.3pt,81.15pt" filled="t" strokeweight="1pt"/>
        </w:pict>
      </w:r>
      <w:r>
        <w:rPr>
          <w:rFonts w:asciiTheme="minorEastAsia" w:eastAsiaTheme="minorEastAsia" w:hAnsiTheme="minorEastAsia"/>
        </w:rPr>
        <w:pict>
          <v:line id="直线 12" o:spid="_x0000_s1059" style="position:absolute;left:0;text-align:left;flip:x;z-index:251650048;mso-width-relative:page;mso-height-relative:page" from="120.25pt,80.45pt" to="161.8pt,80.5pt" filled="t" strokeweight="1pt"/>
        </w:pict>
      </w:r>
      <w:r>
        <w:rPr>
          <w:rFonts w:asciiTheme="minorEastAsia" w:eastAsiaTheme="minorEastAsia" w:hAnsiTheme="minorEastAsia"/>
        </w:rPr>
        <w:pict>
          <v:line id="直线 6" o:spid="_x0000_s1058" style="position:absolute;left:0;text-align:left;z-index:251651072;mso-width-relative:page;mso-height-relative:page" from="133.2pt,48.4pt" to="305.7pt,48.45pt" filled="t" strokeweight="1pt"/>
        </w:pict>
      </w:r>
      <w:r>
        <w:rPr>
          <w:rFonts w:asciiTheme="minorEastAsia" w:eastAsiaTheme="minorEastAsia" w:hAnsiTheme="minorEastAsia"/>
        </w:rPr>
        <w:pict>
          <v:line id="直线 7" o:spid="_x0000_s1057" style="position:absolute;left:0;text-align:left;z-index:251652096;mso-width-relative:page;mso-height-relative:page" from="305pt,36.1pt" to="305.05pt,47.7pt" filled="t" strokeweight="1pt"/>
        </w:pict>
      </w:r>
      <w:r>
        <w:rPr>
          <w:rFonts w:asciiTheme="minorEastAsia" w:eastAsiaTheme="minorEastAsia" w:hAnsiTheme="minorEastAsia"/>
        </w:rPr>
        <w:pict>
          <v:line id="直线 5" o:spid="_x0000_s1056" style="position:absolute;left:0;text-align:left;z-index:251653120;mso-width-relative:page;mso-height-relative:page" from="133.2pt,32.15pt" to="133.25pt,48.55pt" filled="t" strokeweight="1pt"/>
        </w:pict>
      </w:r>
      <w:r>
        <w:rPr>
          <w:rFonts w:asciiTheme="minorEastAsia" w:eastAsia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0" o:spid="_x0000_s1055" type="#_x0000_t202" style="position:absolute;left:0;text-align:left;margin-left:286.25pt;margin-top:393.65pt;width:110.5pt;height:28.7pt;z-index:251654144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377B1B" w:rsidRDefault="001E3BD5">
                  <w:pPr>
                    <w:spacing w:beforeLines="20" w:before="62" w:line="2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依法公开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8" o:spid="_x0000_s1054" type="#_x0000_t202" style="position:absolute;left:0;text-align:left;margin-left:237.15pt;margin-top:209.8pt;width:239.6pt;height:70.5pt;z-index:251655168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377B1B" w:rsidRDefault="001E3BD5">
                  <w:pPr>
                    <w:spacing w:line="300" w:lineRule="exact"/>
                    <w:jc w:val="lef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作出</w:t>
                  </w:r>
                  <w:proofErr w:type="gramEnd"/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行政处罚决定之前，应当告知当事人</w:t>
                  </w:r>
                  <w:proofErr w:type="gramStart"/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作出</w:t>
                  </w:r>
                  <w:proofErr w:type="gramEnd"/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行政处罚决定的事实、理由及依据，并告知当事人依法享有的权利。责令停产停业、吊销许可证或者执照等情形，告知听证权利，依申请组织听证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25" o:spid="_x0000_s1053" type="#_x0000_t202" style="position:absolute;left:0;text-align:left;margin-left:126.4pt;margin-top:306.75pt;width:215.45pt;height:40pt;z-index:251656192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377B1B" w:rsidRDefault="001E3BD5">
                  <w:pPr>
                    <w:spacing w:line="300" w:lineRule="exac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对案件事实和适用法律问题，进行认定依法</w:t>
                  </w:r>
                  <w:proofErr w:type="gramStart"/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作出</w:t>
                  </w:r>
                  <w:proofErr w:type="gramEnd"/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行政处罚决定，制作行政处罚决定书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9" o:spid="_x0000_s1052" type="#_x0000_t202" style="position:absolute;left:0;text-align:left;margin-left:81.15pt;margin-top:227.6pt;width:92.8pt;height:29.4pt;z-index:251657216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377B1B" w:rsidRDefault="001E3BD5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调查取证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6" o:spid="_x0000_s1051" type="#_x0000_t202" style="position:absolute;left:0;text-align:left;margin-left:246.5pt;margin-top:167.25pt;width:158.15pt;height:37.5pt;z-index:251658240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377B1B" w:rsidRDefault="001E3BD5">
                  <w:pPr>
                    <w:spacing w:line="300" w:lineRule="exac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告知当事人并说明理由，告知提起行政复议或行政诉讼的权力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4" o:spid="_x0000_s1050" type="#_x0000_t202" style="position:absolute;left:0;text-align:left;margin-left:262.85pt;margin-top:116pt;width:107.75pt;height:29.4pt;z-index:251659264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377B1B" w:rsidRDefault="001E3BD5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不予立案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3" o:spid="_x0000_s1049" type="#_x0000_t202" style="position:absolute;left:0;text-align:left;margin-left:79.15pt;margin-top:115.75pt;width:81.8pt;height:29.4pt;z-index:251660288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377B1B" w:rsidRDefault="001E3BD5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立案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8" o:spid="_x0000_s1048" type="#_x0000_t202" style="position:absolute;left:0;text-align:left;margin-left:162.05pt;margin-top:64.25pt;width:107.75pt;height:29.4pt;z-index:251661312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377B1B" w:rsidRDefault="001E3BD5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审查核实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3" o:spid="_x0000_s1047" type="#_x0000_t202" style="position:absolute;left:0;text-align:left;margin-left:251.95pt;margin-top:6.25pt;width:107.75pt;height:29.4pt;z-index:251662336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377B1B" w:rsidRDefault="001E3BD5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举报投诉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2" o:spid="_x0000_s1046" type="#_x0000_t202" style="position:absolute;left:0;text-align:left;margin-left:88.6pt;margin-top:2.5pt;width:107.75pt;height:29.4pt;z-index:251663360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377B1B" w:rsidRDefault="001E3BD5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日常监督检查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line id="直线 4" o:spid="_x0000_s1074" style="position:absolute;left:0;text-align:left;z-index:251664384;mso-width-relative:page;mso-height-relative:page" from="214.1pt,48.1pt" to="214.75pt,64.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27" o:spid="_x0000_s1073" style="position:absolute;left:0;text-align:left;flip:x;z-index:251665408;mso-width-relative:page;mso-height-relative:page" from="335.7pt,366.4pt" to="335.7pt,394.3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28" o:spid="_x0000_s1072" style="position:absolute;left:0;text-align:left;z-index:251666432;mso-width-relative:page;mso-height-relative:page" from="129.1pt,365.75pt" to="129.1pt,388.25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29" o:spid="_x0000_s1071" style="position:absolute;left:0;text-align:left;z-index:251667456;mso-width-relative:page;mso-height-relative:page" from="129.2pt,366.25pt" to="335.75pt,366.3pt" strokeweight="1pt"/>
        </w:pict>
      </w:r>
      <w:r>
        <w:rPr>
          <w:rFonts w:asciiTheme="minorEastAsia" w:eastAsiaTheme="minorEastAsia" w:hAnsiTheme="minorEastAsia"/>
        </w:rPr>
        <w:pict>
          <v:line id="直线 26" o:spid="_x0000_s1070" style="position:absolute;left:0;text-align:left;z-index:251668480;mso-width-relative:page;mso-height-relative:page" from="219.1pt,347.05pt" to="219.15pt,365.7pt" strokeweight="1pt"/>
        </w:pict>
      </w:r>
      <w:r>
        <w:rPr>
          <w:rFonts w:asciiTheme="minorEastAsia" w:eastAsiaTheme="minorEastAsia" w:hAnsiTheme="minorEastAsia"/>
        </w:rPr>
        <w:pict>
          <v:line id="直线 24" o:spid="_x0000_s1068" style="position:absolute;left:0;text-align:left;z-index:251669504;mso-width-relative:page;mso-height-relative:page" from="126.05pt,288.45pt" to="325.1pt,288.5pt" strokeweight="1pt"/>
        </w:pict>
      </w:r>
      <w:r>
        <w:rPr>
          <w:rFonts w:asciiTheme="minorEastAsia" w:eastAsiaTheme="minorEastAsia" w:hAnsiTheme="minorEastAsia"/>
        </w:rPr>
        <w:pict>
          <v:line id="直线 22" o:spid="_x0000_s1067" style="position:absolute;left:0;text-align:left;z-index:251670528;mso-width-relative:page;mso-height-relative:page" from="325.2pt,281.3pt" to="325.25pt,289.2pt" strokeweight="1pt"/>
        </w:pict>
      </w:r>
    </w:p>
    <w:p w:rsidR="00377B1B" w:rsidRDefault="00377B1B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377B1B" w:rsidRDefault="00377B1B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377B1B" w:rsidRDefault="001E3BD5">
      <w:pPr>
        <w:spacing w:line="590" w:lineRule="exact"/>
        <w:rPr>
          <w:rFonts w:ascii="仿宋_GB2312" w:eastAsia="仿宋_GB2312" w:hAnsi="仿宋"/>
          <w:sz w:val="32"/>
          <w:szCs w:val="32"/>
        </w:rPr>
      </w:pPr>
      <w:r>
        <w:rPr>
          <w:rFonts w:asciiTheme="minorEastAsia" w:eastAsiaTheme="minorEastAsia" w:hAnsiTheme="minorEastAsia"/>
        </w:rPr>
        <w:pict>
          <v:rect id="_x0000_s1075" style="position:absolute;left:0;text-align:left;margin-left:92.5pt;margin-top:300.85pt;width:150pt;height:61.2pt;z-index:251671552;mso-width-relative:page;mso-height-relative:page">
            <v:textbox>
              <w:txbxContent>
                <w:p w:rsidR="00377B1B" w:rsidRDefault="001E3BD5">
                  <w:pPr>
                    <w:spacing w:line="320" w:lineRule="exac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行政处罚决定书送达当事人，并告知依法申请复议、提起行政诉讼的权利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line id="直线 23" o:spid="_x0000_s1069" style="position:absolute;left:0;text-align:left;z-index:251672576;mso-width-relative:page;mso-height-relative:page" from="216.95pt,200.55pt" to="216.95pt,216.15pt" filled="t" strokeweight="1pt">
            <v:stroke endarrow="block"/>
          </v:line>
        </w:pict>
      </w:r>
    </w:p>
    <w:sectPr w:rsidR="00377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78D2"/>
    <w:rsid w:val="00017006"/>
    <w:rsid w:val="00017694"/>
    <w:rsid w:val="000D44B0"/>
    <w:rsid w:val="000E68A9"/>
    <w:rsid w:val="00114A3C"/>
    <w:rsid w:val="00116C27"/>
    <w:rsid w:val="00122BBE"/>
    <w:rsid w:val="001267DF"/>
    <w:rsid w:val="00142FEE"/>
    <w:rsid w:val="0014392A"/>
    <w:rsid w:val="001826DC"/>
    <w:rsid w:val="001C3522"/>
    <w:rsid w:val="001C3676"/>
    <w:rsid w:val="001E3BD5"/>
    <w:rsid w:val="00222A9D"/>
    <w:rsid w:val="002A7D39"/>
    <w:rsid w:val="002D7275"/>
    <w:rsid w:val="002E0802"/>
    <w:rsid w:val="002E6490"/>
    <w:rsid w:val="002F6080"/>
    <w:rsid w:val="002F76AC"/>
    <w:rsid w:val="00331340"/>
    <w:rsid w:val="003627C9"/>
    <w:rsid w:val="00364CA2"/>
    <w:rsid w:val="00377B1B"/>
    <w:rsid w:val="00377E21"/>
    <w:rsid w:val="00387F6C"/>
    <w:rsid w:val="003A332D"/>
    <w:rsid w:val="003B4EB6"/>
    <w:rsid w:val="003F3214"/>
    <w:rsid w:val="004011FE"/>
    <w:rsid w:val="00457BAC"/>
    <w:rsid w:val="004600A8"/>
    <w:rsid w:val="0047649C"/>
    <w:rsid w:val="004947B4"/>
    <w:rsid w:val="004B4FC8"/>
    <w:rsid w:val="004E2E47"/>
    <w:rsid w:val="004F1AF0"/>
    <w:rsid w:val="005230D5"/>
    <w:rsid w:val="00554D3A"/>
    <w:rsid w:val="0056200E"/>
    <w:rsid w:val="00573CEB"/>
    <w:rsid w:val="00583680"/>
    <w:rsid w:val="00594331"/>
    <w:rsid w:val="0059743E"/>
    <w:rsid w:val="005E5F21"/>
    <w:rsid w:val="00602D7E"/>
    <w:rsid w:val="00605ACC"/>
    <w:rsid w:val="00642B5B"/>
    <w:rsid w:val="006446FF"/>
    <w:rsid w:val="00672B97"/>
    <w:rsid w:val="006804EE"/>
    <w:rsid w:val="006A31DF"/>
    <w:rsid w:val="006A41D2"/>
    <w:rsid w:val="006B1966"/>
    <w:rsid w:val="006C48F0"/>
    <w:rsid w:val="006F5B93"/>
    <w:rsid w:val="006F7B38"/>
    <w:rsid w:val="007143BF"/>
    <w:rsid w:val="00746A64"/>
    <w:rsid w:val="00760CF8"/>
    <w:rsid w:val="00780DAD"/>
    <w:rsid w:val="007A5511"/>
    <w:rsid w:val="007C736C"/>
    <w:rsid w:val="007D2FC8"/>
    <w:rsid w:val="007E0B45"/>
    <w:rsid w:val="008141BC"/>
    <w:rsid w:val="00815966"/>
    <w:rsid w:val="00815BBC"/>
    <w:rsid w:val="00835810"/>
    <w:rsid w:val="00840804"/>
    <w:rsid w:val="00850857"/>
    <w:rsid w:val="008824A8"/>
    <w:rsid w:val="00884FB6"/>
    <w:rsid w:val="008B647A"/>
    <w:rsid w:val="008E2BF5"/>
    <w:rsid w:val="008F1370"/>
    <w:rsid w:val="008F2319"/>
    <w:rsid w:val="00924817"/>
    <w:rsid w:val="00935230"/>
    <w:rsid w:val="0095110D"/>
    <w:rsid w:val="00974EAC"/>
    <w:rsid w:val="00976535"/>
    <w:rsid w:val="009A1388"/>
    <w:rsid w:val="009B1850"/>
    <w:rsid w:val="009B75E3"/>
    <w:rsid w:val="009D70CD"/>
    <w:rsid w:val="009D7592"/>
    <w:rsid w:val="00A76B3C"/>
    <w:rsid w:val="00A90ABA"/>
    <w:rsid w:val="00A94D22"/>
    <w:rsid w:val="00A9768B"/>
    <w:rsid w:val="00AA7BB2"/>
    <w:rsid w:val="00B149DA"/>
    <w:rsid w:val="00B40B17"/>
    <w:rsid w:val="00B42095"/>
    <w:rsid w:val="00B50900"/>
    <w:rsid w:val="00B73776"/>
    <w:rsid w:val="00B74AD5"/>
    <w:rsid w:val="00B8158A"/>
    <w:rsid w:val="00BB7A36"/>
    <w:rsid w:val="00C13BCC"/>
    <w:rsid w:val="00C778D2"/>
    <w:rsid w:val="00C779DF"/>
    <w:rsid w:val="00C965AA"/>
    <w:rsid w:val="00CC434C"/>
    <w:rsid w:val="00CD6C2A"/>
    <w:rsid w:val="00D24DE4"/>
    <w:rsid w:val="00D353C9"/>
    <w:rsid w:val="00D36235"/>
    <w:rsid w:val="00D418A3"/>
    <w:rsid w:val="00D547A2"/>
    <w:rsid w:val="00D93EFD"/>
    <w:rsid w:val="00D97E72"/>
    <w:rsid w:val="00DA6BF3"/>
    <w:rsid w:val="00DB0A3B"/>
    <w:rsid w:val="00E039F9"/>
    <w:rsid w:val="00E20082"/>
    <w:rsid w:val="00E57FD8"/>
    <w:rsid w:val="00E63E8C"/>
    <w:rsid w:val="00E92880"/>
    <w:rsid w:val="00EC16E8"/>
    <w:rsid w:val="00EC62BC"/>
    <w:rsid w:val="00ED0BC5"/>
    <w:rsid w:val="00EE526A"/>
    <w:rsid w:val="00F450D0"/>
    <w:rsid w:val="00F45491"/>
    <w:rsid w:val="00F80DB3"/>
    <w:rsid w:val="00F979F4"/>
    <w:rsid w:val="00FA1982"/>
    <w:rsid w:val="00FD3587"/>
    <w:rsid w:val="00FE7856"/>
    <w:rsid w:val="00FF6F25"/>
    <w:rsid w:val="10B85844"/>
    <w:rsid w:val="51413C2D"/>
    <w:rsid w:val="70EF5A37"/>
    <w:rsid w:val="74AC2C5C"/>
    <w:rsid w:val="76F0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 fillcolor="white">
      <v:fill color="white"/>
    </o:shapedefaults>
    <o:shapelayout v:ext="edit">
      <o:idmap v:ext="edit" data="1"/>
    </o:shapelayout>
  </w:shapeDefaults>
  <w:decimalSymbol w:val="."/>
  <w:listSeparator w:val=","/>
  <w15:docId w15:val="{835DA5B2-8C9B-4121-9EAC-3D39C4E3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rFonts w:cs="Times New Roman"/>
      <w:b/>
      <w:bCs/>
    </w:rPr>
  </w:style>
  <w:style w:type="paragraph" w:customStyle="1" w:styleId="p0">
    <w:name w:val="p0"/>
    <w:basedOn w:val="a"/>
    <w:pPr>
      <w:widowControl/>
    </w:pPr>
    <w:rPr>
      <w:kern w:val="0"/>
      <w:sz w:val="21"/>
      <w:szCs w:val="21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info1">
    <w:name w:val="info1"/>
    <w:rPr>
      <w:rFonts w:cs="Times New Roman"/>
      <w:spacing w:val="1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74"/>
    <customShpInfo spid="_x0000_s1073"/>
    <customShpInfo spid="_x0000_s1072"/>
    <customShpInfo spid="_x0000_s1071"/>
    <customShpInfo spid="_x0000_s1070"/>
    <customShpInfo spid="_x0000_s1068"/>
    <customShpInfo spid="_x0000_s1067"/>
    <customShpInfo spid="_x0000_s1075"/>
    <customShpInfo spid="_x0000_s106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>Sky123.Org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曾健华</dc:creator>
  <cp:lastModifiedBy>黄世东</cp:lastModifiedBy>
  <cp:revision>17</cp:revision>
  <dcterms:created xsi:type="dcterms:W3CDTF">2017-07-11T09:20:00Z</dcterms:created>
  <dcterms:modified xsi:type="dcterms:W3CDTF">2017-12-13T08:52:00Z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