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BD" w:rsidRDefault="00320CC2">
      <w:pPr>
        <w:adjustRightInd w:val="0"/>
        <w:snapToGrid w:val="0"/>
        <w:spacing w:line="560" w:lineRule="exact"/>
        <w:rPr>
          <w:rFonts w:ascii="方正小标宋_GBK" w:eastAsia="方正小标宋_GBK" w:hAnsiTheme="minorEastAsia"/>
          <w:sz w:val="32"/>
          <w:szCs w:val="32"/>
          <w:shd w:val="clear" w:color="auto" w:fill="FFFFFF"/>
        </w:rPr>
      </w:pPr>
      <w:r>
        <w:rPr>
          <w:rFonts w:ascii="方正小标宋_GBK" w:eastAsia="方正小标宋_GBK" w:hAnsiTheme="minorEastAsia" w:hint="eastAsia"/>
          <w:sz w:val="32"/>
          <w:szCs w:val="32"/>
          <w:shd w:val="clear" w:color="auto" w:fill="FFFFFF"/>
        </w:rPr>
        <w:t>行政权力事项实施清单</w:t>
      </w:r>
    </w:p>
    <w:p w:rsidR="00320CC2" w:rsidRDefault="00320CC2">
      <w:pPr>
        <w:adjustRightInd w:val="0"/>
        <w:snapToGrid w:val="0"/>
        <w:spacing w:line="560" w:lineRule="exact"/>
        <w:rPr>
          <w:rFonts w:ascii="方正小标宋_GBK" w:eastAsia="方正小标宋_GBK" w:hAnsiTheme="minorEastAsia" w:hint="eastAsia"/>
          <w:sz w:val="32"/>
          <w:szCs w:val="32"/>
          <w:shd w:val="clear" w:color="auto" w:fill="FFFFFF"/>
        </w:rPr>
      </w:pPr>
      <w:bookmarkStart w:id="0" w:name="_GoBack"/>
      <w:bookmarkEnd w:id="0"/>
    </w:p>
    <w:p w:rsidR="00AE07BD" w:rsidRDefault="00320CC2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AnsiTheme="minorEastAsia"/>
          <w:color w:val="000000"/>
          <w:spacing w:val="-10"/>
          <w:sz w:val="44"/>
          <w:szCs w:val="44"/>
        </w:rPr>
      </w:pPr>
      <w:r>
        <w:rPr>
          <w:rFonts w:ascii="方正小标宋_GBK" w:eastAsia="方正小标宋_GBK" w:hAnsiTheme="minorEastAsia" w:hint="eastAsia"/>
          <w:color w:val="000000"/>
          <w:spacing w:val="-10"/>
          <w:sz w:val="44"/>
          <w:szCs w:val="44"/>
        </w:rPr>
        <w:t>设计单位未按照民用建筑节能强制性标准进行设计，或者使用列入禁止使用目录的技术、工艺、材料和设备的处罚</w:t>
      </w:r>
    </w:p>
    <w:p w:rsidR="00AE07BD" w:rsidRDefault="00AE07BD">
      <w:pPr>
        <w:adjustRightInd w:val="0"/>
        <w:snapToGrid w:val="0"/>
        <w:spacing w:line="240" w:lineRule="exact"/>
        <w:jc w:val="center"/>
        <w:rPr>
          <w:rFonts w:asciiTheme="minorEastAsia" w:eastAsiaTheme="minorEastAsia" w:hAnsiTheme="minorEastAsia"/>
          <w:b/>
          <w:sz w:val="24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1410"/>
        <w:gridCol w:w="1417"/>
        <w:gridCol w:w="5712"/>
      </w:tblGrid>
      <w:tr w:rsidR="00AE07BD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行政处罚</w:t>
            </w:r>
          </w:p>
        </w:tc>
      </w:tr>
      <w:tr w:rsidR="00AE07BD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AE07BD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AE07BD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AE07BD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AE07BD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设计单位未按照民用建筑节能强制性标准进行设计，或者使用列入禁止使用目录的技术、工艺、材料和设备的处罚</w:t>
            </w:r>
          </w:p>
        </w:tc>
      </w:tr>
      <w:tr w:rsidR="00AE07BD">
        <w:trPr>
          <w:trHeight w:val="284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AE07BD">
            <w:pPr>
              <w:adjustRightInd w:val="0"/>
              <w:snapToGrid w:val="0"/>
              <w:spacing w:line="280" w:lineRule="exact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AE07BD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AE07BD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</w:p>
        </w:tc>
      </w:tr>
      <w:tr w:rsidR="00AE07BD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贺州市住房城乡建设局</w:t>
            </w:r>
          </w:p>
        </w:tc>
      </w:tr>
      <w:tr w:rsidR="00AE07BD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法定机关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/>
                <w:kern w:val="1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贺州市建筑节能办公室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咨询及</w:t>
            </w:r>
          </w:p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077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4-5137851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AE07BD">
            <w:pPr>
              <w:adjustRightInd w:val="0"/>
              <w:snapToGrid w:val="0"/>
              <w:spacing w:line="300" w:lineRule="exact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AE07BD" w:rsidRDefault="00AE07BD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0774-51378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92</w:t>
            </w:r>
          </w:p>
        </w:tc>
      </w:tr>
      <w:tr w:rsidR="00AE07BD">
        <w:trPr>
          <w:trHeight w:val="4611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【行政法规】《民用建筑节能条例》（国务院令第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530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号）第三十九条：违反本条例规定，设计单位未按照民用建筑节能强制性标准进行设计，或者使用列入禁止使用目录的技术、工艺、材料和设备的，由县级以上地方人民政府建设主管部门责令改正，处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万元以下的罚款；情节严重的，由颁发资质证书的部门责令停业整顿，降低资质等级或者吊销资质证书；造成损失的，依法承担赔偿责任。【部门规章】《民用建筑节能管理规定》（建设部令第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143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号）第二十六条：设计单位未按照建筑节能强制性标准进行设计的，应当修改设计。未进行修改的，给予警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告，处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万元以下罚款；造成损失的，依法承担赔偿责任；两年内，累计三项工程未按照建筑节能强制性标准设计的，责令停业整顿，降低资质等级或者吊销资质证书。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未按照民用建筑节能强制性标准进行设计，或者使用列入禁止使用目录的技术、工艺、材料和设备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设计单位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此事项属于自治区、市、县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级分级管理。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根据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《民用建筑节能条例》第三十九条：违反本条例规定，设计单位未按照民用建筑节能强制性标准进行设计，或者使用列入禁止使用目录的技术、工艺、材料和设备的，由县级以上地方人民政府建设主管部门责令改正，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下的罚款；情节严重的，由颁发资质证书的部门责令停业整顿，降低资质等级或者吊销资质证书；造成损失的，依法承担赔偿责任。【部门规章】《民用建筑节能管理规定》第二十六条：设计单位未按照建筑节能强制性标准进行设计的，应当修改设计。未进行修改的，给予警告，处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万元以上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万元以下罚款；造成损失的，依法承担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赔偿责任；两年内，累计三项工程未按照建筑节能强制性标准设计的，责令停业整顿，降低资质等级或者吊销资质证书。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按照属地管理原则，市本级对本辖区范围内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未按照民用建筑节能强制性标准进行设计，或者使用列入禁止使用目录的技术、工艺、材料和设备的设计单位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进行处罚</w:t>
            </w:r>
            <w:r>
              <w:rPr>
                <w:rFonts w:asciiTheme="minorEastAsia" w:eastAsiaTheme="minorEastAsia" w:hAnsiTheme="minorEastAsia" w:hint="eastAsia"/>
                <w:kern w:val="1"/>
                <w:sz w:val="21"/>
                <w:szCs w:val="21"/>
              </w:rPr>
              <w:t>。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法定办结</w:t>
            </w:r>
          </w:p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日。经本机关负责人批准，可以延长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日。需要继续延长的，报上一级行政主管机关批准。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kern w:val="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详见附件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行政处罚决定书。</w:t>
            </w:r>
          </w:p>
        </w:tc>
      </w:tr>
      <w:tr w:rsidR="00AE07BD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</w:p>
        </w:tc>
      </w:tr>
      <w:tr w:rsidR="00320CC2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0CC2" w:rsidRDefault="00320CC2" w:rsidP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0CC2" w:rsidRDefault="00320CC2" w:rsidP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20CC2" w:rsidRDefault="00320CC2" w:rsidP="00320CC2">
            <w:pPr>
              <w:spacing w:line="400" w:lineRule="exact"/>
              <w:ind w:firstLineChars="200" w:firstLine="42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1.立案责任：通过日常监管、群众举投诉、举报或其他方式发现违法违规的行为，进行监督检查和核实，并决定是否立案受理。 </w:t>
            </w:r>
          </w:p>
          <w:p w:rsidR="00320CC2" w:rsidRDefault="00320CC2" w:rsidP="00320CC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2.调查取证责任：对立案的案件，及时组织调查取证，通过搜集证据、现场了解核实情况等进行调查，并制作笔录。</w:t>
            </w:r>
          </w:p>
          <w:p w:rsidR="00320CC2" w:rsidRDefault="00320CC2" w:rsidP="00320CC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材料核实，现场核实，调查取证。 </w:t>
            </w:r>
          </w:p>
          <w:p w:rsidR="00320CC2" w:rsidRDefault="00320CC2" w:rsidP="00320CC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3.复核审查责任：对案件违法事实、证据、调查取证程序、法律适用、处罚种类和幅度、当事人陈述和申辩理由等方面进行审查，提出处理意见。</w:t>
            </w:r>
          </w:p>
          <w:p w:rsidR="00320CC2" w:rsidRDefault="00320CC2" w:rsidP="00320CC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4.告知责任：作出行政处罚决定前，制作《行政处罚告知书》送达当事人，告知违法事实、处罚依据和拟处罚意见，以及当事人享有的陈述、申辩等权利。符合听证规定的，制作并送达《行政处罚听证告知书》。</w:t>
            </w:r>
          </w:p>
          <w:p w:rsidR="00320CC2" w:rsidRDefault="00320CC2" w:rsidP="00320CC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5.决定责任：作出处罚决定，制作行政处罚决定书，载明行政处罚告知、</w:t>
            </w: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当事人陈述申辩或者听证情况等内容。</w:t>
            </w:r>
          </w:p>
          <w:p w:rsidR="00320CC2" w:rsidRDefault="00320CC2" w:rsidP="00320CC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6.送达责任：按有关规定将行政处罚决定书送达当事人。  </w:t>
            </w:r>
          </w:p>
          <w:p w:rsidR="00320CC2" w:rsidRDefault="00320CC2" w:rsidP="00320CC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7.执行责任：依照生效的行政处罚决定，自觉履行或强制执行。</w:t>
            </w:r>
          </w:p>
          <w:p w:rsidR="00320CC2" w:rsidRDefault="00320CC2" w:rsidP="00320CC2">
            <w:pPr>
              <w:spacing w:line="400" w:lineRule="exact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8.监督责任：对处罚决定执行情况进行监督检查。</w:t>
            </w:r>
          </w:p>
          <w:p w:rsidR="00320CC2" w:rsidRDefault="00320CC2" w:rsidP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9.其他法律法规规章文件规定应履行的责任。</w:t>
            </w:r>
          </w:p>
        </w:tc>
      </w:tr>
      <w:tr w:rsidR="00320CC2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0CC2" w:rsidRDefault="00320CC2" w:rsidP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lastRenderedPageBreak/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320CC2" w:rsidRDefault="00320CC2" w:rsidP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320CC2" w:rsidRDefault="00320CC2" w:rsidP="00320CC2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因不履行或不正确履行行政职责，有下列情形的行政机关及相关工作人员应承担相应的责任：</w:t>
            </w:r>
          </w:p>
          <w:p w:rsidR="00320CC2" w:rsidRDefault="00320CC2" w:rsidP="00320CC2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1. 发现违法行为不予查处的；</w:t>
            </w:r>
          </w:p>
          <w:p w:rsidR="00320CC2" w:rsidRDefault="00320CC2" w:rsidP="00320CC2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2. 违反法定处罚程序的；</w:t>
            </w:r>
          </w:p>
          <w:p w:rsidR="00320CC2" w:rsidRDefault="00320CC2" w:rsidP="00320CC2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3. 利用职务便利索取或者收受当事人财物徇私舞弊袒护当事人的；</w:t>
            </w:r>
          </w:p>
          <w:p w:rsidR="00320CC2" w:rsidRDefault="00320CC2" w:rsidP="00320CC2">
            <w:pPr>
              <w:spacing w:line="400" w:lineRule="exact"/>
              <w:ind w:firstLineChars="200" w:firstLine="420"/>
              <w:jc w:val="lef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4. 擅自改变行政处罚种类、幅度的；</w:t>
            </w:r>
          </w:p>
          <w:p w:rsidR="00320CC2" w:rsidRDefault="00320CC2" w:rsidP="00320CC2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5. 其他违反法律法规规定的行为。</w:t>
            </w:r>
          </w:p>
        </w:tc>
      </w:tr>
      <w:tr w:rsidR="00AE07BD">
        <w:trPr>
          <w:trHeight w:val="68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Theme="minorEastAsia"/>
                <w:kern w:val="1"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AE07BD" w:rsidRDefault="00AE07BD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E07BD" w:rsidRDefault="00AE07BD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AE07BD" w:rsidRDefault="00320CC2">
      <w:pPr>
        <w:adjustRightInd w:val="0"/>
        <w:snapToGrid w:val="0"/>
        <w:spacing w:line="59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  <w:br w:type="page"/>
      </w:r>
      <w:r>
        <w:rPr>
          <w:rFonts w:ascii="方正小标宋_GBK" w:eastAsia="方正小标宋_GBK" w:hAnsiTheme="minorEastAsia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p w:rsidR="00AE07BD" w:rsidRDefault="00AE07BD">
      <w:pPr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bCs/>
          <w:sz w:val="44"/>
          <w:szCs w:val="44"/>
          <w:shd w:val="clear" w:color="auto" w:fill="FFFFFF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502"/>
        <w:gridCol w:w="521"/>
        <w:gridCol w:w="3823"/>
        <w:gridCol w:w="1064"/>
      </w:tblGrid>
      <w:tr w:rsidR="00AE07BD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风险点</w:t>
            </w:r>
          </w:p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="方正小标宋_GBK" w:eastAsia="方正小标宋_GBK" w:hAnsiTheme="minor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AnsiTheme="minorEastAsia" w:hint="eastAsia"/>
                <w:bCs/>
                <w:sz w:val="28"/>
                <w:szCs w:val="28"/>
              </w:rPr>
              <w:t>责任人</w:t>
            </w:r>
          </w:p>
        </w:tc>
      </w:tr>
      <w:tr w:rsidR="00AE07BD">
        <w:trPr>
          <w:trHeight w:val="340"/>
          <w:jc w:val="center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受理立案环节：未经批准擅自决定受理或立案；收受好处，徇私舞弊，应立案不立案；玩忽职守，不能立案的立案；超越职权，擅自销案等。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严格执行《行政处罚法》等规定。建立查处案件台账，定期进行检查；严格按照行政处罚事项受理、立案的有关规定办理；严格按照法规程序进行监督。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AE07BD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BD" w:rsidRDefault="00AE07B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查取证环节：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严格依照民政法律法规规章办理案件。严格按法定程序进行调查取证；建立问责机制，对违反规定的人员严肃处理。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承办机构负责人和办案人员</w:t>
            </w:r>
          </w:p>
        </w:tc>
      </w:tr>
      <w:tr w:rsidR="00AE07BD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BD" w:rsidRDefault="00AE07B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决定环节：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坚持以事实为依据，以法律为准绳的原则，听取当事人的陈述和申辩；严格层级审批制度，认真审核；坚持处罚意见承办案件科室集体合议制度，坚持少数服从多数的原则；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对情节复杂或者重大违法行为给予行政处罚的，民政局负责人应当集体讨论决定；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严格按照法定成程序，作出公正的处罚决定。对案卷进行抽查评查，加强对处罚实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承办机构负责人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AE07BD">
        <w:trPr>
          <w:trHeight w:val="340"/>
          <w:jc w:val="center"/>
        </w:trPr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7BD" w:rsidRDefault="00AE07BD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送达执行环节：未按规定送达；或者未对相关社会组织执行行政处罚决定情况进行监督检查。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中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严格按照《行政处罚法》的规定送达和执行。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E07BD" w:rsidRDefault="00320CC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承办机构办案人员</w:t>
            </w:r>
          </w:p>
        </w:tc>
      </w:tr>
    </w:tbl>
    <w:p w:rsidR="00AE07BD" w:rsidRDefault="00320CC2">
      <w:pPr>
        <w:spacing w:line="560" w:lineRule="exact"/>
        <w:ind w:leftChars="-200" w:left="-584" w:rightChars="-231" w:right="-693" w:hangingChars="5" w:hanging="1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kern w:val="1"/>
          <w:sz w:val="32"/>
          <w:szCs w:val="32"/>
        </w:rPr>
        <w:t>设计单位未按照民用建筑节能强制性标准进行设计，或者使用列入禁止使用目录的技术、工艺、材料和设备的</w:t>
      </w:r>
      <w:r>
        <w:rPr>
          <w:rFonts w:ascii="仿宋" w:eastAsia="仿宋" w:hAnsi="仿宋" w:cs="仿宋" w:hint="eastAsia"/>
          <w:kern w:val="1"/>
          <w:sz w:val="32"/>
          <w:szCs w:val="32"/>
        </w:rPr>
        <w:t>处罚流程图</w:t>
      </w:r>
    </w:p>
    <w:p w:rsidR="00AE07BD" w:rsidRDefault="00AE07BD">
      <w:pPr>
        <w:spacing w:line="590" w:lineRule="exact"/>
        <w:rPr>
          <w:rFonts w:ascii="黑体" w:eastAsia="黑体" w:hAnsiTheme="minorEastAsia"/>
          <w:sz w:val="32"/>
          <w:szCs w:val="32"/>
        </w:rPr>
      </w:pPr>
    </w:p>
    <w:p w:rsidR="00AE07BD" w:rsidRDefault="00320CC2">
      <w:pPr>
        <w:spacing w:line="590" w:lineRule="exact"/>
        <w:rPr>
          <w:rFonts w:ascii="黑体" w:eastAsia="黑体" w:hAnsiTheme="minorEastAsia"/>
          <w:sz w:val="32"/>
          <w:szCs w:val="32"/>
        </w:rPr>
      </w:pPr>
      <w:r>
        <w:rPr>
          <w:rFonts w:ascii="黑体" w:eastAsia="黑体" w:hAnsiTheme="minorEastAsia" w:hint="eastAsia"/>
          <w:sz w:val="32"/>
          <w:szCs w:val="32"/>
        </w:rPr>
        <w:lastRenderedPageBreak/>
        <w:t>附件</w:t>
      </w:r>
    </w:p>
    <w:p w:rsidR="00AE07BD" w:rsidRDefault="00AE07BD">
      <w:pPr>
        <w:spacing w:line="590" w:lineRule="exact"/>
        <w:jc w:val="center"/>
        <w:rPr>
          <w:rFonts w:asciiTheme="minorEastAsia" w:eastAsiaTheme="minorEastAsia" w:hAnsiTheme="minorEastAsia"/>
          <w:kern w:val="1"/>
          <w:sz w:val="44"/>
          <w:szCs w:val="44"/>
        </w:rPr>
      </w:pPr>
    </w:p>
    <w:p w:rsidR="00AE07BD" w:rsidRDefault="00320CC2">
      <w:pPr>
        <w:spacing w:line="59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设计单位未按照民用建筑节能强制性标准进行设计，或者使用列入禁止使用目录的技术、工艺、材料和设备的</w:t>
      </w:r>
      <w:r>
        <w:rPr>
          <w:rFonts w:ascii="方正小标宋_GBK" w:eastAsia="方正小标宋_GBK" w:hAnsiTheme="minorEastAsia" w:hint="eastAsia"/>
          <w:kern w:val="1"/>
          <w:sz w:val="44"/>
          <w:szCs w:val="44"/>
        </w:rPr>
        <w:t>处罚流程图</w:t>
      </w:r>
    </w:p>
    <w:p w:rsidR="00AE07BD" w:rsidRDefault="00AE07BD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Theme="minorEastAsia" w:eastAsiaTheme="minorEastAsia" w:hAnsiTheme="minorEastAsia"/>
          <w:snapToGrid w:val="0"/>
          <w:color w:val="000000"/>
          <w:sz w:val="44"/>
          <w:szCs w:val="44"/>
        </w:rPr>
      </w:pPr>
    </w:p>
    <w:p w:rsidR="00AE07BD" w:rsidRDefault="00AE07BD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AE07BD" w:rsidRDefault="00320CC2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  <w:r>
        <w:rPr>
          <w:rFonts w:asciiTheme="minorEastAsia" w:eastAsiaTheme="minorEastAsia" w:hAnsiTheme="minorEastAsia"/>
        </w:rPr>
        <w:pict>
          <v:line id="直线 20" o:spid="_x0000_s1046" style="position:absolute;left:0;text-align:left;flip:x;z-index:251680768;mso-width-relative:page;mso-height-relative:page" from="125.4pt,257.45pt" to="126.05pt,288.45pt" strokeweight="1pt"/>
        </w:pict>
      </w:r>
      <w:r>
        <w:rPr>
          <w:rFonts w:asciiTheme="minorEastAsia" w:eastAsiaTheme="minorEastAsia" w:hAnsiTheme="minorEastAsia"/>
        </w:rPr>
        <w:pict>
          <v:line id="_x0000_s1045" style="position:absolute;left:0;text-align:left;z-index:251679744;mso-width-relative:page;mso-height-relative:page" from="174.8pt,242.05pt" to="236.6pt,242.0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5" o:spid="_x0000_s1044" style="position:absolute;left:0;text-align:left;z-index:251678720;mso-width-relative:page;mso-height-relative:page" from="317.95pt,145.2pt" to="318pt,166.3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7" o:spid="_x0000_s1043" style="position:absolute;left:0;text-align:left;z-index:251677696;mso-width-relative:page;mso-height-relative:page" from="122.95pt,145.9pt" to="123pt,227.7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9" o:spid="_x0000_s1042" style="position:absolute;left:0;text-align:left;z-index:251676672;mso-width-relative:page;mso-height-relative:page" from="319.3pt,81.8pt" to="319.35pt,115.9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0" o:spid="_x0000_s1041" style="position:absolute;left:0;text-align:left;z-index:251675648;mso-width-relative:page;mso-height-relative:page" from="120.9pt,80.45pt" to="120.95pt,115.2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11" o:spid="_x0000_s1040" style="position:absolute;left:0;text-align:left;z-index:251674624;mso-width-relative:page;mso-height-relative:page" from="269.55pt,81.1pt" to="319.3pt,81.15pt" filled="t" strokeweight="1pt"/>
        </w:pict>
      </w:r>
      <w:r>
        <w:rPr>
          <w:rFonts w:asciiTheme="minorEastAsia" w:eastAsiaTheme="minorEastAsia" w:hAnsiTheme="minorEastAsia"/>
        </w:rPr>
        <w:pict>
          <v:line id="直线 12" o:spid="_x0000_s1039" style="position:absolute;left:0;text-align:left;flip:x;z-index:251673600;mso-width-relative:page;mso-height-relative:page" from="120.25pt,80.45pt" to="161.8pt,80.5pt" filled="t" strokeweight="1pt"/>
        </w:pict>
      </w:r>
      <w:r>
        <w:rPr>
          <w:rFonts w:asciiTheme="minorEastAsia" w:eastAsiaTheme="minorEastAsia" w:hAnsiTheme="minorEastAsia"/>
        </w:rPr>
        <w:pict>
          <v:line id="直线 6" o:spid="_x0000_s1038" style="position:absolute;left:0;text-align:left;z-index:251672576;mso-width-relative:page;mso-height-relative:page" from="133.2pt,48.4pt" to="305.7pt,48.45pt" filled="t" strokeweight="1pt"/>
        </w:pict>
      </w:r>
      <w:r>
        <w:rPr>
          <w:rFonts w:asciiTheme="minorEastAsia" w:eastAsiaTheme="minorEastAsia" w:hAnsiTheme="minorEastAsia"/>
        </w:rPr>
        <w:pict>
          <v:line id="直线 7" o:spid="_x0000_s1037" style="position:absolute;left:0;text-align:left;z-index:251671552;mso-width-relative:page;mso-height-relative:page" from="305pt,36.1pt" to="305.05pt,47.7pt" filled="t" strokeweight="1pt"/>
        </w:pict>
      </w:r>
      <w:r>
        <w:rPr>
          <w:rFonts w:asciiTheme="minorEastAsia" w:eastAsiaTheme="minorEastAsia" w:hAnsiTheme="minorEastAsia"/>
        </w:rPr>
        <w:pict>
          <v:line id="直线 5" o:spid="_x0000_s1036" style="position:absolute;left:0;text-align:left;z-index:251670528;mso-width-relative:page;mso-height-relative:page" from="133.2pt,32.15pt" to="133.25pt,48.55pt" filled="t" strokeweight="1pt"/>
        </w:pict>
      </w:r>
      <w:r>
        <w:rPr>
          <w:rFonts w:asciiTheme="minorEastAsia" w:eastAsia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0" o:spid="_x0000_s1035" type="#_x0000_t202" style="position:absolute;left:0;text-align:left;margin-left:286.25pt;margin-top:393.65pt;width:110.5pt;height:28.7pt;z-index:25166950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07BD" w:rsidRDefault="00320CC2">
                  <w:pPr>
                    <w:spacing w:beforeLines="20" w:before="62" w:line="2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依法公开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8" o:spid="_x0000_s1034" type="#_x0000_t202" style="position:absolute;left:0;text-align:left;margin-left:237.15pt;margin-top:209.8pt;width:239.6pt;height:70.5pt;z-index:25166848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07BD" w:rsidRDefault="00320CC2">
                  <w:pPr>
                    <w:spacing w:line="300" w:lineRule="exact"/>
                    <w:jc w:val="lef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作出行政处罚决定之前，应当告知当事人作出行政处罚决定的事实、理由及依据，并告知当事人依法享有的权利。责令停产停业、吊销许可证或者执照等情形，告知听证权利，依申请组织听证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25" o:spid="_x0000_s1033" type="#_x0000_t202" style="position:absolute;left:0;text-align:left;margin-left:126.4pt;margin-top:306.75pt;width:215.45pt;height:40pt;z-index:25166745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07BD" w:rsidRDefault="00320CC2">
                  <w:pPr>
                    <w:spacing w:line="300" w:lineRule="exact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对案件事实和适用法律问题，进行认定依法作出行政处罚决定，制作行政处罚决定书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9" o:spid="_x0000_s1032" type="#_x0000_t202" style="position:absolute;left:0;text-align:left;margin-left:81.15pt;margin-top:227.6pt;width:92.8pt;height:29.4pt;z-index:25166643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07BD" w:rsidRDefault="00320CC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调查取证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6" o:spid="_x0000_s1031" type="#_x0000_t202" style="position:absolute;left:0;text-align:left;margin-left:246.5pt;margin-top:167.25pt;width:158.15pt;height:37.5pt;z-index:25166540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07BD" w:rsidRDefault="00320CC2">
                  <w:pPr>
                    <w:spacing w:line="30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告知当事人并说明理由，告知提起行政复议或行政诉讼的权力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4" o:spid="_x0000_s1030" type="#_x0000_t202" style="position:absolute;left:0;text-align:left;margin-left:262.85pt;margin-top:116pt;width:107.75pt;height:29.4pt;z-index:251664384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07BD" w:rsidRDefault="00320CC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不予立案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13" o:spid="_x0000_s1029" type="#_x0000_t202" style="position:absolute;left:0;text-align:left;margin-left:79.15pt;margin-top:115.75pt;width:81.8pt;height:29.4pt;z-index:251663360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07BD" w:rsidRDefault="00320CC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立案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文本框 8" o:spid="_x0000_s1028" type="#_x0000_t202" style="position:absolute;left:0;text-align:left;margin-left:162.05pt;margin-top:64.25pt;width:107.75pt;height:29.4pt;z-index:251662336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07BD" w:rsidRDefault="00320CC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审查核实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7" type="#_x0000_t202" style="position:absolute;left:0;text-align:left;margin-left:251.95pt;margin-top:6.25pt;width:107.75pt;height:29.4pt;z-index:251661312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07BD" w:rsidRDefault="00320CC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举报投诉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shape id="_x0000_s1026" type="#_x0000_t202" style="position:absolute;left:0;text-align:left;margin-left:88.6pt;margin-top:2.5pt;width:107.75pt;height:29.4pt;z-index:251660288;mso-width-relative:page;mso-height-relative:page" strokeweight="1pt">
            <v:fill angle="90" type="gradient">
              <o:fill v:ext="view" type="gradientUnscaled"/>
            </v:fill>
            <v:textbox>
              <w:txbxContent>
                <w:p w:rsidR="00AE07BD" w:rsidRDefault="00320CC2">
                  <w:pPr>
                    <w:spacing w:line="360" w:lineRule="exact"/>
                    <w:jc w:val="center"/>
                    <w:rPr>
                      <w:rFonts w:asciiTheme="minorEastAsia" w:eastAsiaTheme="minorEastAsia" w:hAnsiTheme="minorEastAsia" w:cs="宋体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日常监督检查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</w:rPr>
        <w:pict>
          <v:line id="直线 4" o:spid="_x0000_s1054" style="position:absolute;left:0;text-align:left;z-index:251688960;mso-width-relative:page;mso-height-relative:page" from="214.1pt,48.1pt" to="214.75pt,64.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7" o:spid="_x0000_s1053" style="position:absolute;left:0;text-align:left;flip:x;z-index:251687936;mso-width-relative:page;mso-height-relative:page" from="335.7pt,366.4pt" to="335.7pt,394.35p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_x0000_s1052" style="position:absolute;left:0;text-align:left;z-index:251686912;mso-width-relative:page;mso-height-relative:page" from="129.1pt,365.75pt" to="129.1pt,388.25pt" filled="t" strokeweight="1pt">
            <v:stroke endarrow="block"/>
          </v:line>
        </w:pict>
      </w:r>
      <w:r>
        <w:rPr>
          <w:rFonts w:asciiTheme="minorEastAsia" w:eastAsiaTheme="minorEastAsia" w:hAnsiTheme="minorEastAsia"/>
        </w:rPr>
        <w:pict>
          <v:line id="直线 29" o:spid="_x0000_s1051" style="position:absolute;left:0;text-align:left;z-index:251685888;mso-width-relative:page;mso-height-relative:page" from="129.2pt,366.25pt" to="335.75pt,366.3pt" strokeweight="1pt"/>
        </w:pict>
      </w:r>
      <w:r>
        <w:rPr>
          <w:rFonts w:asciiTheme="minorEastAsia" w:eastAsiaTheme="minorEastAsia" w:hAnsiTheme="minorEastAsia"/>
        </w:rPr>
        <w:pict>
          <v:line id="_x0000_s1050" style="position:absolute;left:0;text-align:left;z-index:251684864;mso-width-relative:page;mso-height-relative:page" from="219.1pt,347.05pt" to="219.15pt,365.7pt" strokeweight="1pt"/>
        </w:pict>
      </w:r>
      <w:r>
        <w:rPr>
          <w:rFonts w:asciiTheme="minorEastAsia" w:eastAsiaTheme="minorEastAsia" w:hAnsiTheme="minorEastAsia"/>
        </w:rPr>
        <w:pict>
          <v:line id="_x0000_s1048" style="position:absolute;left:0;text-align:left;z-index:251682816;mso-width-relative:page;mso-height-relative:page" from="126.05pt,288.45pt" to="325.1pt,288.5pt" strokeweight="1pt"/>
        </w:pict>
      </w:r>
      <w:r>
        <w:rPr>
          <w:rFonts w:asciiTheme="minorEastAsia" w:eastAsiaTheme="minorEastAsia" w:hAnsiTheme="minorEastAsia"/>
        </w:rPr>
        <w:pict>
          <v:line id="直线 22" o:spid="_x0000_s1047" style="position:absolute;left:0;text-align:left;z-index:251681792;mso-width-relative:page;mso-height-relative:page" from="325.2pt,281.3pt" to="325.25pt,289.2pt" strokeweight="1pt"/>
        </w:pict>
      </w:r>
    </w:p>
    <w:p w:rsidR="00AE07BD" w:rsidRDefault="00AE07BD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AE07BD" w:rsidRDefault="00AE07BD">
      <w:pPr>
        <w:tabs>
          <w:tab w:val="left" w:pos="0"/>
        </w:tabs>
        <w:adjustRightInd w:val="0"/>
        <w:snapToGrid w:val="0"/>
        <w:spacing w:line="590" w:lineRule="exact"/>
        <w:rPr>
          <w:rFonts w:asciiTheme="minorEastAsia" w:eastAsiaTheme="minorEastAsia" w:hAnsiTheme="minorEastAsia"/>
          <w:snapToGrid w:val="0"/>
          <w:color w:val="000000"/>
          <w:sz w:val="32"/>
          <w:szCs w:val="32"/>
        </w:rPr>
      </w:pPr>
    </w:p>
    <w:p w:rsidR="00AE07BD" w:rsidRDefault="00320CC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rect id="_x0000_s1055" style="position:absolute;left:0;text-align:left;margin-left:92.5pt;margin-top:300.85pt;width:150pt;height:61.2pt;z-index:251689984;mso-width-relative:page;mso-height-relative:page">
            <v:textbox>
              <w:txbxContent>
                <w:p w:rsidR="00AE07BD" w:rsidRDefault="00320CC2">
                  <w:pPr>
                    <w:spacing w:line="320" w:lineRule="exact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="宋体" w:hint="eastAsia"/>
                      <w:sz w:val="21"/>
                      <w:szCs w:val="21"/>
                    </w:rPr>
                    <w:t>行政处罚决定书送达当事人，并告知依法申请复议、提起行政诉讼的权利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</w:rPr>
        <w:pict>
          <v:line id="直线 23" o:spid="_x0000_s1049" style="position:absolute;left:0;text-align:left;z-index:251683840;mso-width-relative:page;mso-height-relative:page" from="216.95pt,200.55pt" to="216.95pt,216.15pt" filled="t" strokeweight="1pt">
            <v:stroke endarrow="block"/>
          </v:line>
        </w:pict>
      </w:r>
    </w:p>
    <w:sectPr w:rsidR="00AE0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34C"/>
    <w:rsid w:val="00017694"/>
    <w:rsid w:val="00097574"/>
    <w:rsid w:val="000D44B0"/>
    <w:rsid w:val="000D60C4"/>
    <w:rsid w:val="00116C27"/>
    <w:rsid w:val="00122BBE"/>
    <w:rsid w:val="001826DC"/>
    <w:rsid w:val="001C3522"/>
    <w:rsid w:val="00222A9D"/>
    <w:rsid w:val="002D7275"/>
    <w:rsid w:val="002E6490"/>
    <w:rsid w:val="002F6080"/>
    <w:rsid w:val="002F76AC"/>
    <w:rsid w:val="00320CC2"/>
    <w:rsid w:val="00331340"/>
    <w:rsid w:val="003627C9"/>
    <w:rsid w:val="00364CA2"/>
    <w:rsid w:val="00377E21"/>
    <w:rsid w:val="00387F6C"/>
    <w:rsid w:val="003A1E94"/>
    <w:rsid w:val="003A332D"/>
    <w:rsid w:val="003B4EB6"/>
    <w:rsid w:val="003C0B5D"/>
    <w:rsid w:val="003C4E42"/>
    <w:rsid w:val="004011FE"/>
    <w:rsid w:val="00457BAC"/>
    <w:rsid w:val="004600A8"/>
    <w:rsid w:val="0047649C"/>
    <w:rsid w:val="004947B4"/>
    <w:rsid w:val="004E2E47"/>
    <w:rsid w:val="004F00D9"/>
    <w:rsid w:val="004F1AF0"/>
    <w:rsid w:val="0051649C"/>
    <w:rsid w:val="005230D5"/>
    <w:rsid w:val="00554D3A"/>
    <w:rsid w:val="0056200E"/>
    <w:rsid w:val="00573CEB"/>
    <w:rsid w:val="00576963"/>
    <w:rsid w:val="00583680"/>
    <w:rsid w:val="00594331"/>
    <w:rsid w:val="005F121D"/>
    <w:rsid w:val="00602D7E"/>
    <w:rsid w:val="00605ACC"/>
    <w:rsid w:val="00642B5B"/>
    <w:rsid w:val="006446FF"/>
    <w:rsid w:val="00672B97"/>
    <w:rsid w:val="006804EE"/>
    <w:rsid w:val="006A31DF"/>
    <w:rsid w:val="006A41D2"/>
    <w:rsid w:val="006B1966"/>
    <w:rsid w:val="006C48F0"/>
    <w:rsid w:val="006D2051"/>
    <w:rsid w:val="006E462B"/>
    <w:rsid w:val="006F5B93"/>
    <w:rsid w:val="006F7B38"/>
    <w:rsid w:val="0072666B"/>
    <w:rsid w:val="007378D1"/>
    <w:rsid w:val="00746A64"/>
    <w:rsid w:val="00747554"/>
    <w:rsid w:val="007507E0"/>
    <w:rsid w:val="00780DAD"/>
    <w:rsid w:val="007A5511"/>
    <w:rsid w:val="007C736C"/>
    <w:rsid w:val="007D2FC8"/>
    <w:rsid w:val="008141BC"/>
    <w:rsid w:val="00815BBC"/>
    <w:rsid w:val="00835810"/>
    <w:rsid w:val="00840804"/>
    <w:rsid w:val="00850381"/>
    <w:rsid w:val="00850857"/>
    <w:rsid w:val="008824A8"/>
    <w:rsid w:val="00884FB6"/>
    <w:rsid w:val="00891B98"/>
    <w:rsid w:val="008B647A"/>
    <w:rsid w:val="008C6116"/>
    <w:rsid w:val="008E2BF5"/>
    <w:rsid w:val="008F2319"/>
    <w:rsid w:val="00924817"/>
    <w:rsid w:val="00935230"/>
    <w:rsid w:val="00974EAC"/>
    <w:rsid w:val="00976535"/>
    <w:rsid w:val="00983858"/>
    <w:rsid w:val="009A1388"/>
    <w:rsid w:val="009B1850"/>
    <w:rsid w:val="009B75E3"/>
    <w:rsid w:val="009D70CD"/>
    <w:rsid w:val="009D7592"/>
    <w:rsid w:val="00A2134C"/>
    <w:rsid w:val="00A70C86"/>
    <w:rsid w:val="00A76B3C"/>
    <w:rsid w:val="00A90ABA"/>
    <w:rsid w:val="00A94D22"/>
    <w:rsid w:val="00A9768B"/>
    <w:rsid w:val="00AA7BB2"/>
    <w:rsid w:val="00AE07BD"/>
    <w:rsid w:val="00AE193D"/>
    <w:rsid w:val="00B149DA"/>
    <w:rsid w:val="00B2143C"/>
    <w:rsid w:val="00B40B17"/>
    <w:rsid w:val="00B42095"/>
    <w:rsid w:val="00B73776"/>
    <w:rsid w:val="00B74AD5"/>
    <w:rsid w:val="00B8158A"/>
    <w:rsid w:val="00B86BB9"/>
    <w:rsid w:val="00BB7A36"/>
    <w:rsid w:val="00C779DF"/>
    <w:rsid w:val="00C965AA"/>
    <w:rsid w:val="00CC3C80"/>
    <w:rsid w:val="00CD6C2A"/>
    <w:rsid w:val="00D24DE4"/>
    <w:rsid w:val="00D353C9"/>
    <w:rsid w:val="00D36235"/>
    <w:rsid w:val="00D418A3"/>
    <w:rsid w:val="00D547A2"/>
    <w:rsid w:val="00D86987"/>
    <w:rsid w:val="00DA6BF3"/>
    <w:rsid w:val="00E57FD8"/>
    <w:rsid w:val="00E63E8C"/>
    <w:rsid w:val="00E92880"/>
    <w:rsid w:val="00EB6CB5"/>
    <w:rsid w:val="00EC16E8"/>
    <w:rsid w:val="00EC62BC"/>
    <w:rsid w:val="00F45491"/>
    <w:rsid w:val="00F53D1F"/>
    <w:rsid w:val="00F80DB3"/>
    <w:rsid w:val="00FA1982"/>
    <w:rsid w:val="00FC025A"/>
    <w:rsid w:val="00FD3587"/>
    <w:rsid w:val="00FE7856"/>
    <w:rsid w:val="1F1F0EFF"/>
    <w:rsid w:val="489E6222"/>
    <w:rsid w:val="57DB16B6"/>
    <w:rsid w:val="5C0E19CC"/>
    <w:rsid w:val="70227A6C"/>
    <w:rsid w:val="7E5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white">
      <v:fill color="white"/>
    </o:shapedefaults>
    <o:shapelayout v:ext="edit">
      <o:idmap v:ext="edit" data="1"/>
    </o:shapelayout>
  </w:shapeDefaults>
  <w:decimalSymbol w:val="."/>
  <w:listSeparator w:val=","/>
  <w15:docId w15:val="{0D7B106D-380C-45AF-A0BE-408072C0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 w:val="21"/>
      <w:szCs w:val="21"/>
    </w:rPr>
  </w:style>
  <w:style w:type="character" w:customStyle="1" w:styleId="info1">
    <w:name w:val="info1"/>
    <w:qFormat/>
    <w:rPr>
      <w:rFonts w:cs="Times New Roman"/>
      <w:spacing w:val="15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  <customShpInfo spid="_x0000_s1054"/>
    <customShpInfo spid="_x0000_s1053"/>
    <customShpInfo spid="_x0000_s1052"/>
    <customShpInfo spid="_x0000_s1051"/>
    <customShpInfo spid="_x0000_s1050"/>
    <customShpInfo spid="_x0000_s1048"/>
    <customShpInfo spid="_x0000_s1047"/>
    <customShpInfo spid="_x0000_s1055"/>
    <customShpInfo spid="_x0000_s1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0F1722-22D8-49B9-94F1-E762D354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Company>Sky123.Org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曾健华</dc:creator>
  <cp:lastModifiedBy>黄世东</cp:lastModifiedBy>
  <cp:revision>11</cp:revision>
  <dcterms:created xsi:type="dcterms:W3CDTF">2017-07-12T08:41:00Z</dcterms:created>
  <dcterms:modified xsi:type="dcterms:W3CDTF">2017-12-13T08:44:00Z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