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05" w:rsidRDefault="00000CE2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274E05" w:rsidRDefault="00274E05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cs="仿宋_GB2312"/>
          <w:sz w:val="44"/>
          <w:szCs w:val="44"/>
        </w:rPr>
      </w:pPr>
    </w:p>
    <w:p w:rsidR="00274E05" w:rsidRDefault="00000CE2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施工单位未按照民用建筑节能强制性标准进行施工的处罚</w:t>
      </w:r>
    </w:p>
    <w:p w:rsidR="00274E05" w:rsidRDefault="00274E05">
      <w:pPr>
        <w:pStyle w:val="p0"/>
        <w:widowControl w:val="0"/>
        <w:adjustRightInd w:val="0"/>
        <w:snapToGrid w:val="0"/>
        <w:spacing w:line="24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551"/>
        <w:gridCol w:w="1418"/>
        <w:gridCol w:w="5570"/>
      </w:tblGrid>
      <w:tr w:rsidR="00274E05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274E05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274E05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74E05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274E05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74E05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施工单位未按照民用建筑节能强制性标准进行施工的处罚</w:t>
            </w:r>
          </w:p>
        </w:tc>
      </w:tr>
      <w:tr w:rsidR="00274E05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274E05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274E05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274E0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274E05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274E05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贺州市建筑节能办公室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274E05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74E05" w:rsidRDefault="00274E05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274E05">
        <w:trPr>
          <w:trHeight w:val="47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【行政法规】《民用建筑节能条例》（国务院令第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530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号）第四十条　违反本条例规定，施工单位未按照民用建筑节能强制性标准进行施工的，由县级以上地方人民政府建设主管部门责令改正，处民用建筑项目合同价款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2%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4%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以下的罚款；情节严重的，由颁发资质证书的部门责令停业整顿，降低资质等级或者吊销资质证书；造成损失的，依法承担赔偿责任。</w:t>
            </w:r>
          </w:p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【部门规章】《民用建筑节能管理规定》（建设部令第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143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号）第二十七条：对未按照节能设计进行施工的施工单位，责令改正；整改所发生的工程费用，由施工单位负责；可以给予警告，情节严重的，处工程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合同价款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％以上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％以下的罚款；两年内，累计三项工程未按照符合节能标准要求的设计进行施工的，责令停业整顿，降低资质等级或者吊销资质证书。第二十八条：本规定的责令停业整顿、降低资质等级和吊销资质证书的行政处罚，由颁发资质证书的机关决定；其他行政处罚，由建设行政主管部门依照法定职权决定。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未按照民用建筑节能强制性标准进行施工的施工单位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级分级管理。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《民用建筑节能条例》第四十条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违反本条例规定，施工单位未按照民用建筑节能强制性标准进行施工的，由县级以上地方人民政府建设主管部门责令改正，处民用建筑项目合同价款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2%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4%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以下的罚款；情节严重的，由颁发资质证书的部门责令停业整顿，降低资质等级或者吊销资质证书；造成损失的，依法承担赔偿责任。</w:t>
            </w:r>
          </w:p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《民用建筑节能管理规定》第二十七条：对未按照节能设计进行施工的施工单位，责令改正；整改所发生的工程费用，由施工单位负责；可以给予警告，情节严重的，处工程合同价款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％以上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％以下的罚款；两年内，累计三项工程未按照符合节能标准要求的设计进行施工的，责令停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业整顿，降低资质等级或者吊销资质证书。第二十八条：本规定的责令停业整顿、降低资质等级和吊销资质证书的行政处罚，由颁发资质证书的机关决定；其他行政处罚，由建设行政主管部门依照法定职权决定。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按照属地管理原则，市本级对本辖区范围内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未按照民用建筑节能强制性标准进行施工的施工单位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进行处罚。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  <w:p w:rsidR="00274E05" w:rsidRDefault="00274E0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274E05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000CE2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000CE2" w:rsidRDefault="00000CE2" w:rsidP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000CE2" w:rsidRDefault="00000CE2" w:rsidP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000CE2" w:rsidRDefault="00000CE2" w:rsidP="00000CE2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000CE2" w:rsidRDefault="00000CE2" w:rsidP="00000CE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000CE2" w:rsidRDefault="00000CE2" w:rsidP="00000CE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材料核实，现场核实，调查取证。 </w:t>
            </w:r>
          </w:p>
          <w:p w:rsidR="00000CE2" w:rsidRDefault="00000CE2" w:rsidP="00000CE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000CE2" w:rsidRDefault="00000CE2" w:rsidP="00000CE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4.告知责任：作出行政处罚决定前，制作《行政处罚告知书》送达当事人，告知违法事实、处罚依据和拟处罚意见，以及当事人享有的陈述、申辩等权利。符合听证规定的，制作并送达《行政处罚听证告知书》。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000CE2" w:rsidRDefault="00000CE2" w:rsidP="00000CE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 xml:space="preserve">    5.决定责任：作出处罚决定，制作行政处罚决定书，载明行政处罚告知、当事人陈述申辩或者听证情况等内容。</w:t>
            </w:r>
          </w:p>
          <w:p w:rsidR="00000CE2" w:rsidRDefault="00000CE2" w:rsidP="00000CE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6.送达责任：按有关规定将行政处罚决定书送达当事人。  </w:t>
            </w:r>
          </w:p>
          <w:p w:rsidR="00000CE2" w:rsidRDefault="00000CE2" w:rsidP="00000CE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7.执行责任：依照生效的行政处罚决定，自觉履行或强制执行。</w:t>
            </w:r>
          </w:p>
          <w:p w:rsidR="00000CE2" w:rsidRDefault="00000CE2" w:rsidP="00000CE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8.监督责任：对处罚决定执行情况进行监督检查。</w:t>
            </w:r>
          </w:p>
          <w:p w:rsidR="00000CE2" w:rsidRDefault="00000CE2" w:rsidP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9.其他法律法规规章文件规定应履行的责任。</w:t>
            </w:r>
          </w:p>
        </w:tc>
      </w:tr>
      <w:tr w:rsidR="00000CE2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000CE2" w:rsidRDefault="00000CE2" w:rsidP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000CE2" w:rsidRDefault="00000CE2" w:rsidP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000CE2" w:rsidRDefault="00000CE2" w:rsidP="00000CE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因不履行或不正确履行行政职责，有下列情形的行政机关及相关工作人员应承担相应的责任：</w:t>
            </w:r>
          </w:p>
          <w:p w:rsidR="00000CE2" w:rsidRDefault="00000CE2" w:rsidP="00000CE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 发现违法行为不予查处的；</w:t>
            </w:r>
          </w:p>
          <w:p w:rsidR="00000CE2" w:rsidRDefault="00000CE2" w:rsidP="00000CE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 违反法定处罚程序的；</w:t>
            </w:r>
          </w:p>
          <w:p w:rsidR="00000CE2" w:rsidRDefault="00000CE2" w:rsidP="00000CE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 利用职务便利索取或者收受当事人财物徇私舞弊袒护当事人的；</w:t>
            </w:r>
          </w:p>
          <w:p w:rsidR="00000CE2" w:rsidRDefault="00000CE2" w:rsidP="00000CE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 擅自改变行政处罚种类、幅度的；</w:t>
            </w:r>
          </w:p>
          <w:p w:rsidR="00000CE2" w:rsidRDefault="00000CE2" w:rsidP="00000CE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 其他违反法律法规规定的行为。</w:t>
            </w:r>
          </w:p>
        </w:tc>
      </w:tr>
      <w:bookmarkEnd w:id="0"/>
      <w:tr w:rsidR="00274E05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74E05" w:rsidRDefault="00274E0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274E05" w:rsidRDefault="00000CE2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274E05" w:rsidRDefault="00274E05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3601"/>
        <w:gridCol w:w="689"/>
        <w:gridCol w:w="3633"/>
        <w:gridCol w:w="1064"/>
      </w:tblGrid>
      <w:tr w:rsidR="00274E05">
        <w:trPr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274E05">
        <w:trPr>
          <w:trHeight w:val="34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274E05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4E05" w:rsidRDefault="00274E0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274E05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4E05" w:rsidRDefault="00274E0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严格按照法定成程序，作出公正的处罚决定。对案卷进行抽查评查，加强对处罚实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274E05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4E05" w:rsidRDefault="00274E0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74E05" w:rsidRDefault="00000CE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274E05" w:rsidRDefault="00000CE2">
      <w:pPr>
        <w:spacing w:line="560" w:lineRule="exact"/>
        <w:ind w:leftChars="-300" w:left="-7" w:rightChars="-231" w:right="-693" w:hangingChars="279" w:hanging="893"/>
        <w:rPr>
          <w:rFonts w:ascii="黑体" w:eastAsia="黑体" w:hAnsiTheme="minorEastAsia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>附件：</w:t>
      </w:r>
      <w:r>
        <w:rPr>
          <w:rFonts w:ascii="仿宋" w:eastAsia="仿宋" w:hAnsi="仿宋" w:cs="仿宋" w:hint="eastAsia"/>
          <w:kern w:val="1"/>
          <w:sz w:val="32"/>
          <w:szCs w:val="32"/>
        </w:rPr>
        <w:t>施工单位未按照民用建筑节能强制性标准进行施工的处罚</w:t>
      </w:r>
      <w:r>
        <w:rPr>
          <w:rFonts w:ascii="仿宋" w:eastAsia="仿宋" w:hAnsi="仿宋" w:cs="仿宋" w:hint="eastAsia"/>
          <w:kern w:val="1"/>
          <w:sz w:val="32"/>
          <w:szCs w:val="32"/>
        </w:rPr>
        <w:t>流程图</w:t>
      </w: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br w:type="page"/>
      </w:r>
      <w:r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:rsidR="00274E05" w:rsidRDefault="00274E05">
      <w:pPr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kern w:val="1"/>
          <w:sz w:val="44"/>
          <w:szCs w:val="44"/>
        </w:rPr>
      </w:pPr>
    </w:p>
    <w:p w:rsidR="00274E05" w:rsidRDefault="00000CE2">
      <w:pPr>
        <w:adjustRightInd w:val="0"/>
        <w:snapToGrid w:val="0"/>
        <w:spacing w:line="540" w:lineRule="exact"/>
        <w:jc w:val="center"/>
        <w:rPr>
          <w:rFonts w:ascii="方正小标宋_GBK" w:eastAsia="方正小标宋_GBK" w:hAnsiTheme="minorEastAsia"/>
          <w:kern w:val="1"/>
          <w:sz w:val="44"/>
          <w:szCs w:val="44"/>
        </w:rPr>
      </w:pP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施工单位未按照民用建筑节能强制性标准进行施工的处罚</w:t>
      </w: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流程图</w:t>
      </w:r>
    </w:p>
    <w:p w:rsidR="00274E05" w:rsidRDefault="00274E05">
      <w:pPr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sz w:val="44"/>
          <w:szCs w:val="44"/>
          <w:shd w:val="clear" w:color="auto" w:fill="FFFFFF"/>
        </w:rPr>
      </w:pPr>
    </w:p>
    <w:p w:rsidR="00274E05" w:rsidRDefault="00274E05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274E05" w:rsidRDefault="00000CE2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</w:rPr>
        <w:pict>
          <v:line id="直线 20" o:spid="_x0000_s1046" style="position:absolute;left:0;text-align:left;flip:x;z-index:251680768;mso-width-relative:page;mso-height-relative:page" from="125.4pt,257.45pt" to="126.05pt,288.45pt" strokeweight="1pt"/>
        </w:pict>
      </w:r>
      <w:r>
        <w:rPr>
          <w:rFonts w:asciiTheme="minorEastAsia" w:eastAsiaTheme="minorEastAsia" w:hAnsiTheme="minorEastAsia"/>
        </w:rPr>
        <w:pict>
          <v:line id="_x0000_s1045" style="position:absolute;left:0;text-align:left;z-index:251679744;mso-width-relative:page;mso-height-relative:page" from="174.8pt,242.05pt" to="236.6pt,242.0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5" o:spid="_x0000_s1044" style="position:absolute;left:0;text-align:left;z-index:251678720;mso-width-relative:page;mso-height-relative:page" from="317.95pt,145.2pt" to="318pt,166.3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7" o:spid="_x0000_s1043" style="position:absolute;left:0;text-align:left;z-index:251677696;mso-width-relative:page;mso-height-relative:page" from="122.95pt,145.9pt" to="123pt,227.7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9" o:spid="_x0000_s1042" style="position:absolute;left:0;text-align:left;z-index:251676672;mso-width-relative:page;mso-height-relative:page" from="319.3pt,81.8pt" to="319.35pt,115.9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0" o:spid="_x0000_s1041" style="position:absolute;left:0;text-align:left;z-index:251675648;mso-width-relative:page;mso-height-relative:page" from="120.9pt,80.45pt" to="120.95pt,115.2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1" o:spid="_x0000_s1040" style="position:absolute;left:0;text-align:left;z-index:251674624;mso-width-relative:page;mso-height-relative:page" from="269.55pt,81.1pt" to="319.3pt,81.15pt" filled="t" strokeweight="1pt"/>
        </w:pict>
      </w:r>
      <w:r>
        <w:rPr>
          <w:rFonts w:asciiTheme="minorEastAsia" w:eastAsiaTheme="minorEastAsia" w:hAnsiTheme="minorEastAsia"/>
        </w:rPr>
        <w:pict>
          <v:line id="直线 12" o:spid="_x0000_s1039" style="position:absolute;left:0;text-align:left;flip:x;z-index:251673600;mso-width-relative:page;mso-height-relative:page" from="120.25pt,80.45pt" to="161.8pt,80.5pt" filled="t" strokeweight="1pt"/>
        </w:pict>
      </w:r>
      <w:r>
        <w:rPr>
          <w:rFonts w:asciiTheme="minorEastAsia" w:eastAsiaTheme="minorEastAsia" w:hAnsiTheme="minorEastAsia"/>
        </w:rPr>
        <w:pict>
          <v:line id="直线 6" o:spid="_x0000_s1038" style="position:absolute;left:0;text-align:left;z-index:251672576;mso-width-relative:page;mso-height-relative:page" from="133.2pt,48.4pt" to="305.7pt,48.45pt" filled="t" strokeweight="1pt"/>
        </w:pict>
      </w:r>
      <w:r>
        <w:rPr>
          <w:rFonts w:asciiTheme="minorEastAsia" w:eastAsiaTheme="minorEastAsia" w:hAnsiTheme="minorEastAsia"/>
        </w:rPr>
        <w:pict>
          <v:line id="直线 7" o:spid="_x0000_s1037" style="position:absolute;left:0;text-align:left;z-index:251671552;mso-width-relative:page;mso-height-relative:page" from="305pt,36.1pt" to="305.05pt,47.7pt" filled="t" strokeweight="1pt"/>
        </w:pict>
      </w:r>
      <w:r>
        <w:rPr>
          <w:rFonts w:asciiTheme="minorEastAsia" w:eastAsiaTheme="minorEastAsia" w:hAnsiTheme="minorEastAsia"/>
        </w:rPr>
        <w:pict>
          <v:line id="直线 5" o:spid="_x0000_s1036" style="position:absolute;left:0;text-align:left;z-index:251670528;mso-width-relative:page;mso-height-relative:page" from="133.2pt,32.15pt" to="133.25pt,48.55pt" filled="t" strokeweight="1pt"/>
        </w:pict>
      </w: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35" type="#_x0000_t202" style="position:absolute;left:0;text-align:left;margin-left:286.25pt;margin-top:393.65pt;width:110.5pt;height:28.7pt;z-index:25166950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beforeLines="20" w:before="62" w:line="2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依法公开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8" o:spid="_x0000_s1034" type="#_x0000_t202" style="position:absolute;left:0;text-align:left;margin-left:237.15pt;margin-top:209.8pt;width:239.6pt;height:70.5pt;z-index:25166848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作出行政处罚决定之前，应当告知当事人作出行政处罚决定的事实、理由及依据，并告知当事人依法享有的权利。责令停产停业、吊销许可证或者执照等情形，告知听证权利，依申请组织听证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25" o:spid="_x0000_s1033" type="#_x0000_t202" style="position:absolute;left:0;text-align:left;margin-left:126.4pt;margin-top:306.75pt;width:215.45pt;height:40pt;z-index:25166745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0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对案件事实和适用法律问题，进行认定依法作出行政处罚决定，制作行政处罚决定书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9" o:spid="_x0000_s1032" type="#_x0000_t202" style="position:absolute;left:0;text-align:left;margin-left:81.15pt;margin-top:227.6pt;width:92.8pt;height:29.4pt;z-index:25166643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6" o:spid="_x0000_s1031" type="#_x0000_t202" style="position:absolute;left:0;text-align:left;margin-left:246.5pt;margin-top:167.25pt;width:158.15pt;height:37.5pt;z-index:25166540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4" o:spid="_x0000_s1030" type="#_x0000_t202" style="position:absolute;left:0;text-align:left;margin-left:262.85pt;margin-top:116pt;width:107.75pt;height:29.4pt;z-index:25166438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不予立案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3" o:spid="_x0000_s1029" type="#_x0000_t202" style="position:absolute;left:0;text-align:left;margin-left:79.15pt;margin-top:115.75pt;width:81.8pt;height:29.4pt;z-index:25166336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8" o:spid="_x0000_s1028" type="#_x0000_t202" style="position:absolute;left:0;text-align:left;margin-left:162.05pt;margin-top:64.25pt;width:107.75pt;height:29.4pt;z-index:25166233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审查核实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7" type="#_x0000_t202" style="position:absolute;left:0;text-align:left;margin-left:251.95pt;margin-top:6.25pt;width:107.75pt;height:29.4pt;z-index:25166131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举报投诉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6" type="#_x0000_t202" style="position:absolute;left:0;text-align:left;margin-left:88.6pt;margin-top:2.5pt;width:107.75pt;height:29.4pt;z-index:25166028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74E05" w:rsidRDefault="00000CE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日常监督检查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line id="直线 4" o:spid="_x0000_s1054" style="position:absolute;left:0;text-align:left;z-index:251688960;mso-width-relative:page;mso-height-relative:page" from="214.1pt,48.1pt" to="214.75pt,64.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7" o:spid="_x0000_s1053" style="position:absolute;left:0;text-align:left;flip:x;z-index:251687936;mso-width-relative:page;mso-height-relative:page" from="335.7pt,366.4pt" to="335.7pt,394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52" style="position:absolute;left:0;text-align:left;z-index:251686912;mso-width-relative:page;mso-height-relative:page" from="129.1pt,365.75pt" to="129.1pt,388.2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9" o:spid="_x0000_s1051" style="position:absolute;left:0;text-align:left;z-index:251685888;mso-width-relative:page;mso-height-relative:page" from="129.2pt,366.25pt" to="335.75pt,366.3pt" strokeweight="1pt"/>
        </w:pict>
      </w:r>
      <w:r>
        <w:rPr>
          <w:rFonts w:asciiTheme="minorEastAsia" w:eastAsiaTheme="minorEastAsia" w:hAnsiTheme="minorEastAsia"/>
        </w:rPr>
        <w:pict>
          <v:line id="_x0000_s1050" style="position:absolute;left:0;text-align:left;z-index:251684864;mso-width-relative:page;mso-height-relative:page" from="219.1pt,347.05pt" to="219.15pt,365.7pt" strokeweight="1pt"/>
        </w:pict>
      </w:r>
      <w:r>
        <w:rPr>
          <w:rFonts w:asciiTheme="minorEastAsia" w:eastAsiaTheme="minorEastAsia" w:hAnsiTheme="minorEastAsia"/>
        </w:rPr>
        <w:pict>
          <v:line id="_x0000_s1048" style="position:absolute;left:0;text-align:left;z-index:251682816;mso-width-relative:page;mso-height-relative:page" from="126.05pt,288.45pt" to="325.1pt,288.5pt" strokeweight="1pt"/>
        </w:pict>
      </w:r>
      <w:r>
        <w:rPr>
          <w:rFonts w:asciiTheme="minorEastAsia" w:eastAsiaTheme="minorEastAsia" w:hAnsiTheme="minorEastAsia"/>
        </w:rPr>
        <w:pict>
          <v:line id="直线 22" o:spid="_x0000_s1047" style="position:absolute;left:0;text-align:left;z-index:251681792;mso-width-relative:page;mso-height-relative:page" from="325.2pt,281.3pt" to="325.25pt,289.2pt" strokeweight="1pt"/>
        </w:pict>
      </w:r>
    </w:p>
    <w:p w:rsidR="00274E05" w:rsidRDefault="00274E05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274E05" w:rsidRDefault="00274E05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274E05" w:rsidRDefault="00000CE2">
      <w:r>
        <w:rPr>
          <w:rFonts w:asciiTheme="minorEastAsia" w:eastAsiaTheme="minorEastAsia" w:hAnsiTheme="minorEastAsia"/>
        </w:rPr>
        <w:pict>
          <v:rect id="_x0000_s1055" style="position:absolute;left:0;text-align:left;margin-left:92.5pt;margin-top:300.85pt;width:150pt;height:61.2pt;z-index:251689984;mso-width-relative:page;mso-height-relative:page">
            <v:textbox>
              <w:txbxContent>
                <w:p w:rsidR="00274E05" w:rsidRDefault="00000CE2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行政处罚决定书送达当事人，并告知依法申请复议、提起行政诉讼的权利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直线 23" o:spid="_x0000_s1049" style="position:absolute;left:0;text-align:left;z-index:251683840;mso-width-relative:page;mso-height-relative:page" from="216.95pt,200.55pt" to="216.95pt,216.15pt" filled="t" strokeweight="1pt">
            <v:stroke endarrow="block"/>
          </v:line>
        </w:pict>
      </w:r>
    </w:p>
    <w:sectPr w:rsidR="0027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6C0"/>
    <w:rsid w:val="00000CE2"/>
    <w:rsid w:val="00017694"/>
    <w:rsid w:val="00034B21"/>
    <w:rsid w:val="00042489"/>
    <w:rsid w:val="0005019B"/>
    <w:rsid w:val="00087563"/>
    <w:rsid w:val="000D44B0"/>
    <w:rsid w:val="00111D06"/>
    <w:rsid w:val="00116C27"/>
    <w:rsid w:val="00122BBE"/>
    <w:rsid w:val="0017057D"/>
    <w:rsid w:val="001826DC"/>
    <w:rsid w:val="001A3CAC"/>
    <w:rsid w:val="001C3522"/>
    <w:rsid w:val="001E0F78"/>
    <w:rsid w:val="00222A9D"/>
    <w:rsid w:val="00274E05"/>
    <w:rsid w:val="0027572F"/>
    <w:rsid w:val="00296936"/>
    <w:rsid w:val="002A3D8B"/>
    <w:rsid w:val="002C411A"/>
    <w:rsid w:val="002D4B4F"/>
    <w:rsid w:val="002D7275"/>
    <w:rsid w:val="002E6490"/>
    <w:rsid w:val="002F6080"/>
    <w:rsid w:val="002F76AC"/>
    <w:rsid w:val="002F7E4F"/>
    <w:rsid w:val="00331340"/>
    <w:rsid w:val="003627C9"/>
    <w:rsid w:val="00364CA2"/>
    <w:rsid w:val="00367650"/>
    <w:rsid w:val="00377E21"/>
    <w:rsid w:val="00383997"/>
    <w:rsid w:val="00387F6C"/>
    <w:rsid w:val="003A332D"/>
    <w:rsid w:val="003B4EB6"/>
    <w:rsid w:val="004011FE"/>
    <w:rsid w:val="00457BAC"/>
    <w:rsid w:val="004600A8"/>
    <w:rsid w:val="0047649C"/>
    <w:rsid w:val="004947B4"/>
    <w:rsid w:val="004C072A"/>
    <w:rsid w:val="004E2E47"/>
    <w:rsid w:val="004F1AF0"/>
    <w:rsid w:val="005230D5"/>
    <w:rsid w:val="00554D3A"/>
    <w:rsid w:val="0056200E"/>
    <w:rsid w:val="00573CEB"/>
    <w:rsid w:val="00583680"/>
    <w:rsid w:val="005929DC"/>
    <w:rsid w:val="00594331"/>
    <w:rsid w:val="0060146D"/>
    <w:rsid w:val="00602D7E"/>
    <w:rsid w:val="00605ACC"/>
    <w:rsid w:val="006356C0"/>
    <w:rsid w:val="00642B5B"/>
    <w:rsid w:val="006446FF"/>
    <w:rsid w:val="00672B97"/>
    <w:rsid w:val="006804EE"/>
    <w:rsid w:val="006A31DF"/>
    <w:rsid w:val="006A41D2"/>
    <w:rsid w:val="006B1966"/>
    <w:rsid w:val="006C48F0"/>
    <w:rsid w:val="006E462B"/>
    <w:rsid w:val="006F5B93"/>
    <w:rsid w:val="006F7B38"/>
    <w:rsid w:val="00746A64"/>
    <w:rsid w:val="00780DAD"/>
    <w:rsid w:val="007A11CC"/>
    <w:rsid w:val="007A5511"/>
    <w:rsid w:val="007C736C"/>
    <w:rsid w:val="007D2FC8"/>
    <w:rsid w:val="007E45D2"/>
    <w:rsid w:val="00810A70"/>
    <w:rsid w:val="008141BC"/>
    <w:rsid w:val="00815BBC"/>
    <w:rsid w:val="00835810"/>
    <w:rsid w:val="00840804"/>
    <w:rsid w:val="00850857"/>
    <w:rsid w:val="00865EBF"/>
    <w:rsid w:val="008824A8"/>
    <w:rsid w:val="00884FB6"/>
    <w:rsid w:val="008A23C5"/>
    <w:rsid w:val="008B647A"/>
    <w:rsid w:val="008E2BF5"/>
    <w:rsid w:val="008F2319"/>
    <w:rsid w:val="00905E43"/>
    <w:rsid w:val="00924817"/>
    <w:rsid w:val="00935230"/>
    <w:rsid w:val="00974EAC"/>
    <w:rsid w:val="00976535"/>
    <w:rsid w:val="009A1388"/>
    <w:rsid w:val="009B1850"/>
    <w:rsid w:val="009B75E3"/>
    <w:rsid w:val="009D70CD"/>
    <w:rsid w:val="009D7592"/>
    <w:rsid w:val="00A06DCA"/>
    <w:rsid w:val="00A76B3C"/>
    <w:rsid w:val="00A90ABA"/>
    <w:rsid w:val="00A94D22"/>
    <w:rsid w:val="00A9768B"/>
    <w:rsid w:val="00AA7BB2"/>
    <w:rsid w:val="00AE193D"/>
    <w:rsid w:val="00B149DA"/>
    <w:rsid w:val="00B40B17"/>
    <w:rsid w:val="00B42095"/>
    <w:rsid w:val="00B73776"/>
    <w:rsid w:val="00B74AD5"/>
    <w:rsid w:val="00B8158A"/>
    <w:rsid w:val="00BB7A36"/>
    <w:rsid w:val="00C078C1"/>
    <w:rsid w:val="00C54040"/>
    <w:rsid w:val="00C779DF"/>
    <w:rsid w:val="00C81444"/>
    <w:rsid w:val="00C965AA"/>
    <w:rsid w:val="00CD6C2A"/>
    <w:rsid w:val="00CF717B"/>
    <w:rsid w:val="00D24DE4"/>
    <w:rsid w:val="00D353C9"/>
    <w:rsid w:val="00D36235"/>
    <w:rsid w:val="00D418A3"/>
    <w:rsid w:val="00D547A2"/>
    <w:rsid w:val="00D87127"/>
    <w:rsid w:val="00DA166A"/>
    <w:rsid w:val="00DA6BF3"/>
    <w:rsid w:val="00DC4D4F"/>
    <w:rsid w:val="00E32984"/>
    <w:rsid w:val="00E57FD8"/>
    <w:rsid w:val="00E63E8C"/>
    <w:rsid w:val="00E92880"/>
    <w:rsid w:val="00EC16E8"/>
    <w:rsid w:val="00EC62BC"/>
    <w:rsid w:val="00F45491"/>
    <w:rsid w:val="00F53D1F"/>
    <w:rsid w:val="00F80DB3"/>
    <w:rsid w:val="00FA04CA"/>
    <w:rsid w:val="00FA1982"/>
    <w:rsid w:val="00FD3587"/>
    <w:rsid w:val="00FE7856"/>
    <w:rsid w:val="034F5E6A"/>
    <w:rsid w:val="0FCA53DA"/>
    <w:rsid w:val="27533A45"/>
    <w:rsid w:val="322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  <w15:docId w15:val="{0B60C22D-B465-4C42-A130-A833BD79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 w:val="21"/>
      <w:szCs w:val="21"/>
    </w:rPr>
  </w:style>
  <w:style w:type="character" w:customStyle="1" w:styleId="info1">
    <w:name w:val="info1"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  <customShpInfo spid="_x0000_s1054"/>
    <customShpInfo spid="_x0000_s1053"/>
    <customShpInfo spid="_x0000_s1052"/>
    <customShpInfo spid="_x0000_s1051"/>
    <customShpInfo spid="_x0000_s1050"/>
    <customShpInfo spid="_x0000_s1048"/>
    <customShpInfo spid="_x0000_s1047"/>
    <customShpInfo spid="_x0000_s1055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>Sky123.Org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11</cp:revision>
  <dcterms:created xsi:type="dcterms:W3CDTF">2017-07-13T01:59:00Z</dcterms:created>
  <dcterms:modified xsi:type="dcterms:W3CDTF">2017-12-13T08:45:00Z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